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46B0" w14:textId="4AD6D1CE" w:rsidR="00764DC6" w:rsidRPr="00764DC6" w:rsidRDefault="00764DC6" w:rsidP="00764DC6">
      <w:pPr>
        <w:tabs>
          <w:tab w:val="left" w:pos="439"/>
        </w:tabs>
        <w:spacing w:line="261" w:lineRule="exact"/>
        <w:ind w:left="426" w:hanging="426"/>
        <w:jc w:val="right"/>
        <w:rPr>
          <w:rFonts w:ascii="Arial" w:hAnsi="Arial" w:cs="Arial"/>
          <w:color w:val="010302"/>
          <w:lang w:val="pl-PL"/>
        </w:rPr>
      </w:pPr>
      <w:r w:rsidRPr="00764DC6">
        <w:rPr>
          <w:rFonts w:ascii="Arial" w:hAnsi="Arial" w:cs="Arial"/>
          <w:color w:val="000000"/>
          <w:lang w:val="pl-PL"/>
        </w:rPr>
        <w:t>Warszawa, 202</w:t>
      </w:r>
      <w:r w:rsidR="00491886">
        <w:rPr>
          <w:rFonts w:ascii="Arial" w:hAnsi="Arial" w:cs="Arial"/>
          <w:color w:val="000000"/>
          <w:lang w:val="pl-PL"/>
        </w:rPr>
        <w:t>6</w:t>
      </w:r>
      <w:r w:rsidRPr="00764DC6">
        <w:rPr>
          <w:rFonts w:ascii="Arial" w:hAnsi="Arial" w:cs="Arial"/>
          <w:color w:val="000000"/>
          <w:lang w:val="pl-PL"/>
        </w:rPr>
        <w:t>-0</w:t>
      </w:r>
      <w:r w:rsidR="00491886">
        <w:rPr>
          <w:rFonts w:ascii="Arial" w:hAnsi="Arial" w:cs="Arial"/>
          <w:color w:val="000000"/>
          <w:lang w:val="pl-PL"/>
        </w:rPr>
        <w:t>6</w:t>
      </w:r>
      <w:r w:rsidRPr="00764DC6">
        <w:rPr>
          <w:rFonts w:ascii="Arial" w:hAnsi="Arial" w:cs="Arial"/>
          <w:color w:val="000000"/>
          <w:lang w:val="pl-PL"/>
        </w:rPr>
        <w:t>-2</w:t>
      </w:r>
      <w:r w:rsidR="00491886">
        <w:rPr>
          <w:rFonts w:ascii="Arial" w:hAnsi="Arial" w:cs="Arial"/>
          <w:color w:val="000000"/>
          <w:lang w:val="pl-PL"/>
        </w:rPr>
        <w:t>5</w:t>
      </w:r>
      <w:r w:rsidRPr="00764DC6">
        <w:rPr>
          <w:rFonts w:ascii="Arial" w:hAnsi="Arial" w:cs="Arial"/>
          <w:color w:val="000000"/>
          <w:lang w:val="pl-PL"/>
        </w:rPr>
        <w:t xml:space="preserve"> </w:t>
      </w:r>
      <w:r w:rsidR="00491886">
        <w:rPr>
          <w:rFonts w:ascii="Arial" w:hAnsi="Arial" w:cs="Arial"/>
          <w:color w:val="000000"/>
          <w:lang w:val="pl-PL"/>
        </w:rPr>
        <w:t>17</w:t>
      </w:r>
      <w:r w:rsidRPr="00764DC6">
        <w:rPr>
          <w:rFonts w:ascii="Arial" w:hAnsi="Arial" w:cs="Arial"/>
          <w:color w:val="000000"/>
          <w:lang w:val="pl-PL"/>
        </w:rPr>
        <w:t>:</w:t>
      </w:r>
      <w:r w:rsidR="00491886">
        <w:rPr>
          <w:rFonts w:ascii="Arial" w:hAnsi="Arial" w:cs="Arial"/>
          <w:color w:val="000000"/>
          <w:lang w:val="pl-PL"/>
        </w:rPr>
        <w:t>49</w:t>
      </w:r>
      <w:r w:rsidRPr="00764DC6">
        <w:rPr>
          <w:rFonts w:ascii="Arial" w:hAnsi="Arial" w:cs="Arial"/>
          <w:color w:val="000000"/>
          <w:lang w:val="pl-PL"/>
        </w:rPr>
        <w:t>:</w:t>
      </w:r>
      <w:r w:rsidR="00DE0EF3">
        <w:rPr>
          <w:rFonts w:ascii="Arial" w:hAnsi="Arial" w:cs="Arial"/>
          <w:color w:val="000000"/>
          <w:lang w:val="pl-PL"/>
        </w:rPr>
        <w:t>3</w:t>
      </w:r>
      <w:r w:rsidRPr="00764DC6">
        <w:rPr>
          <w:rFonts w:ascii="Arial" w:hAnsi="Arial" w:cs="Arial"/>
          <w:color w:val="000000"/>
          <w:lang w:val="pl-PL"/>
        </w:rPr>
        <w:t>5</w:t>
      </w:r>
      <w:r w:rsidRPr="00764DC6">
        <w:rPr>
          <w:rFonts w:ascii="Arial" w:hAnsi="Arial" w:cs="Arial"/>
          <w:lang w:val="pl-PL"/>
        </w:rPr>
        <w:t xml:space="preserve"> </w:t>
      </w:r>
    </w:p>
    <w:p w14:paraId="4846CD8A" w14:textId="77777777" w:rsidR="00764DC6" w:rsidRPr="00764DC6" w:rsidRDefault="00764DC6" w:rsidP="00764DC6">
      <w:pPr>
        <w:tabs>
          <w:tab w:val="left" w:pos="439"/>
        </w:tabs>
        <w:spacing w:after="211"/>
        <w:ind w:left="426" w:hanging="426"/>
        <w:rPr>
          <w:rFonts w:ascii="Arial" w:hAnsi="Arial" w:cs="Arial"/>
          <w:color w:val="000000" w:themeColor="text1"/>
          <w:sz w:val="24"/>
          <w:szCs w:val="24"/>
          <w:lang w:val="pl-PL"/>
        </w:rPr>
      </w:pPr>
    </w:p>
    <w:p w14:paraId="6A488BE2" w14:textId="2F2D47AF" w:rsidR="00764DC6" w:rsidRPr="00764DC6" w:rsidRDefault="00764DC6" w:rsidP="00764DC6">
      <w:pPr>
        <w:tabs>
          <w:tab w:val="left" w:pos="439"/>
        </w:tabs>
        <w:spacing w:line="261" w:lineRule="exact"/>
        <w:ind w:left="426" w:hanging="426"/>
        <w:rPr>
          <w:rFonts w:ascii="Arial" w:hAnsi="Arial" w:cs="Arial"/>
          <w:lang w:val="pl-PL"/>
        </w:rPr>
      </w:pPr>
      <w:r w:rsidRPr="00764DC6">
        <w:rPr>
          <w:rFonts w:ascii="Arial" w:hAnsi="Arial" w:cs="Arial"/>
          <w:color w:val="000000"/>
          <w:lang w:val="pl-PL"/>
        </w:rPr>
        <w:t>Firma Oponiarska Dębica Spółka Akcyjna</w:t>
      </w:r>
      <w:r w:rsidRPr="00764DC6">
        <w:rPr>
          <w:rFonts w:ascii="Arial" w:hAnsi="Arial" w:cs="Arial"/>
          <w:lang w:val="pl-PL"/>
        </w:rPr>
        <w:t xml:space="preserve"> </w:t>
      </w:r>
    </w:p>
    <w:p w14:paraId="314171EC" w14:textId="77777777" w:rsidR="00764DC6" w:rsidRPr="00764DC6" w:rsidRDefault="00764DC6" w:rsidP="00764DC6">
      <w:pPr>
        <w:tabs>
          <w:tab w:val="left" w:pos="439"/>
        </w:tabs>
        <w:spacing w:line="261" w:lineRule="exact"/>
        <w:ind w:left="426" w:hanging="426"/>
        <w:rPr>
          <w:rFonts w:ascii="Arial" w:hAnsi="Arial" w:cs="Arial"/>
          <w:lang w:val="pl-PL"/>
        </w:rPr>
      </w:pPr>
    </w:p>
    <w:p w14:paraId="6B893C25" w14:textId="77777777" w:rsidR="00764DC6" w:rsidRPr="00764DC6" w:rsidRDefault="00764DC6" w:rsidP="00764DC6">
      <w:pPr>
        <w:tabs>
          <w:tab w:val="left" w:pos="439"/>
        </w:tabs>
        <w:spacing w:line="261" w:lineRule="exact"/>
        <w:ind w:left="426" w:hanging="426"/>
        <w:rPr>
          <w:rFonts w:ascii="Arial" w:hAnsi="Arial" w:cs="Arial"/>
          <w:color w:val="000000" w:themeColor="text1"/>
          <w:sz w:val="24"/>
          <w:szCs w:val="24"/>
          <w:lang w:val="pl-PL"/>
        </w:rPr>
      </w:pPr>
    </w:p>
    <w:p w14:paraId="7C2B4A92" w14:textId="2C28BA7C" w:rsidR="00764DC6" w:rsidRPr="00764DC6" w:rsidRDefault="00764DC6" w:rsidP="00764DC6">
      <w:pPr>
        <w:spacing w:line="381" w:lineRule="exact"/>
        <w:ind w:left="720" w:right="50" w:firstLine="578"/>
        <w:jc w:val="center"/>
        <w:rPr>
          <w:rFonts w:ascii="Arial" w:hAnsi="Arial" w:cs="Arial"/>
          <w:color w:val="010302"/>
          <w:lang w:val="pl-PL"/>
        </w:rPr>
      </w:pPr>
      <w:r w:rsidRPr="00764DC6">
        <w:rPr>
          <w:rFonts w:ascii="Arial" w:hAnsi="Arial" w:cs="Arial"/>
          <w:color w:val="000000"/>
          <w:sz w:val="28"/>
          <w:szCs w:val="28"/>
          <w:lang w:val="pl-PL"/>
        </w:rPr>
        <w:t>Informacja na temat stanu stosowania przez spółkę</w:t>
      </w:r>
      <w:r w:rsidRPr="00764DC6">
        <w:rPr>
          <w:rFonts w:ascii="Arial" w:hAnsi="Arial" w:cs="Arial"/>
          <w:sz w:val="28"/>
          <w:szCs w:val="28"/>
          <w:lang w:val="pl-PL"/>
        </w:rPr>
        <w:t xml:space="preserve"> </w:t>
      </w:r>
      <w:r w:rsidRPr="00764DC6">
        <w:rPr>
          <w:rFonts w:ascii="Arial" w:hAnsi="Arial" w:cs="Arial"/>
          <w:color w:val="000000"/>
          <w:sz w:val="28"/>
          <w:szCs w:val="28"/>
          <w:lang w:val="pl-PL"/>
        </w:rPr>
        <w:t>zasad zawartych w Zbiorze Dobre Praktyki Spółek</w:t>
      </w:r>
      <w:r w:rsidRPr="00764DC6">
        <w:rPr>
          <w:rFonts w:ascii="Arial" w:hAnsi="Arial" w:cs="Arial"/>
          <w:sz w:val="28"/>
          <w:szCs w:val="28"/>
          <w:lang w:val="pl-PL"/>
        </w:rPr>
        <w:t xml:space="preserve"> </w:t>
      </w:r>
      <w:r w:rsidRPr="00764DC6">
        <w:rPr>
          <w:rFonts w:ascii="Arial" w:hAnsi="Arial" w:cs="Arial"/>
          <w:color w:val="000000"/>
          <w:sz w:val="28"/>
          <w:szCs w:val="28"/>
          <w:lang w:val="pl-PL"/>
        </w:rPr>
        <w:t>Notowanych na GPW 2021</w:t>
      </w:r>
    </w:p>
    <w:p w14:paraId="23D8AB57" w14:textId="77777777" w:rsidR="00764DC6" w:rsidRPr="00764DC6" w:rsidRDefault="00764DC6" w:rsidP="00764DC6">
      <w:pPr>
        <w:tabs>
          <w:tab w:val="left" w:pos="439"/>
        </w:tabs>
        <w:spacing w:after="186"/>
        <w:ind w:left="426" w:hanging="426"/>
        <w:rPr>
          <w:rFonts w:ascii="Arial" w:hAnsi="Arial" w:cs="Arial"/>
          <w:color w:val="000000" w:themeColor="text1"/>
          <w:sz w:val="24"/>
          <w:szCs w:val="24"/>
          <w:lang w:val="pl-PL"/>
        </w:rPr>
      </w:pPr>
    </w:p>
    <w:p w14:paraId="4A31FC73" w14:textId="5CD9C490" w:rsidR="00764DC6" w:rsidRPr="00764DC6" w:rsidRDefault="00764DC6" w:rsidP="00764DC6">
      <w:pPr>
        <w:tabs>
          <w:tab w:val="left" w:pos="439"/>
        </w:tabs>
        <w:spacing w:line="241" w:lineRule="exact"/>
        <w:ind w:left="426" w:right="50" w:hanging="426"/>
        <w:rPr>
          <w:rFonts w:ascii="Arial" w:hAnsi="Arial" w:cs="Arial"/>
          <w:color w:val="010302"/>
          <w:lang w:val="pl-PL"/>
        </w:rPr>
      </w:pPr>
      <w:r w:rsidRPr="00764DC6">
        <w:rPr>
          <w:rFonts w:ascii="Arial" w:hAnsi="Arial" w:cs="Arial"/>
          <w:color w:val="000000"/>
          <w:sz w:val="18"/>
          <w:szCs w:val="18"/>
          <w:lang w:val="pl-PL"/>
        </w:rPr>
        <w:t>Według aktualnego stanu stosowania Dobrych Praktyk Spółka nie stosuje 2</w:t>
      </w:r>
      <w:r w:rsidR="00CD791A">
        <w:rPr>
          <w:rFonts w:ascii="Arial" w:hAnsi="Arial" w:cs="Arial"/>
          <w:color w:val="000000"/>
          <w:sz w:val="18"/>
          <w:szCs w:val="18"/>
          <w:lang w:val="pl-PL"/>
        </w:rPr>
        <w:t>6</w:t>
      </w:r>
      <w:r w:rsidRPr="00764DC6">
        <w:rPr>
          <w:rFonts w:ascii="Arial" w:hAnsi="Arial" w:cs="Arial"/>
          <w:color w:val="000000"/>
          <w:sz w:val="18"/>
          <w:szCs w:val="18"/>
          <w:lang w:val="pl-PL"/>
        </w:rPr>
        <w:t xml:space="preserve"> zasad: 1.2., 1.3.1., 1.3.2.,</w:t>
      </w:r>
      <w:r w:rsidRPr="00764DC6">
        <w:rPr>
          <w:rFonts w:ascii="Arial" w:hAnsi="Arial" w:cs="Arial"/>
          <w:sz w:val="18"/>
          <w:szCs w:val="18"/>
          <w:lang w:val="pl-PL"/>
        </w:rPr>
        <w:t xml:space="preserve"> </w:t>
      </w:r>
      <w:r w:rsidRPr="00764DC6">
        <w:rPr>
          <w:rFonts w:ascii="Arial" w:hAnsi="Arial" w:cs="Arial"/>
          <w:color w:val="000000"/>
          <w:sz w:val="18"/>
          <w:szCs w:val="18"/>
          <w:lang w:val="pl-PL"/>
        </w:rPr>
        <w:t xml:space="preserve">1.4., 1.4.1., 1.4.2., 1.5., 1.6., 1.7., 2.1., 2.2., </w:t>
      </w:r>
      <w:r w:rsidR="00991850">
        <w:rPr>
          <w:rFonts w:ascii="Arial" w:hAnsi="Arial" w:cs="Arial"/>
          <w:color w:val="000000"/>
          <w:sz w:val="18"/>
          <w:szCs w:val="18"/>
          <w:lang w:val="pl-PL"/>
        </w:rPr>
        <w:t>2.4.</w:t>
      </w:r>
      <w:r w:rsidR="00CD791A">
        <w:rPr>
          <w:rFonts w:ascii="Arial" w:hAnsi="Arial" w:cs="Arial"/>
          <w:color w:val="000000"/>
          <w:sz w:val="18"/>
          <w:szCs w:val="18"/>
          <w:lang w:val="pl-PL"/>
        </w:rPr>
        <w:t xml:space="preserve">, </w:t>
      </w:r>
      <w:r w:rsidRPr="00764DC6">
        <w:rPr>
          <w:rFonts w:ascii="Arial" w:hAnsi="Arial" w:cs="Arial"/>
          <w:color w:val="000000"/>
          <w:sz w:val="18"/>
          <w:szCs w:val="18"/>
          <w:lang w:val="pl-PL"/>
        </w:rPr>
        <w:t>2.7., 2.11.5., 2.11.6., 3.1., 3.2.,</w:t>
      </w:r>
      <w:r w:rsidR="00FE073B">
        <w:rPr>
          <w:rFonts w:ascii="Arial" w:hAnsi="Arial" w:cs="Arial"/>
          <w:color w:val="000000"/>
          <w:sz w:val="18"/>
          <w:szCs w:val="18"/>
          <w:lang w:val="pl-PL"/>
        </w:rPr>
        <w:t xml:space="preserve"> </w:t>
      </w:r>
      <w:r w:rsidRPr="00764DC6">
        <w:rPr>
          <w:rFonts w:ascii="Arial" w:hAnsi="Arial" w:cs="Arial"/>
          <w:color w:val="000000"/>
          <w:sz w:val="18"/>
          <w:szCs w:val="18"/>
          <w:lang w:val="pl-PL"/>
        </w:rPr>
        <w:t>3.5., 3.6., 4.1.,</w:t>
      </w:r>
      <w:r w:rsidRPr="00764DC6">
        <w:rPr>
          <w:rFonts w:ascii="Arial" w:hAnsi="Arial" w:cs="Arial"/>
          <w:sz w:val="18"/>
          <w:szCs w:val="18"/>
          <w:lang w:val="pl-PL"/>
        </w:rPr>
        <w:t xml:space="preserve"> </w:t>
      </w:r>
      <w:r w:rsidRPr="00764DC6">
        <w:rPr>
          <w:rFonts w:ascii="Arial" w:hAnsi="Arial" w:cs="Arial"/>
          <w:color w:val="000000"/>
          <w:sz w:val="18"/>
          <w:szCs w:val="18"/>
          <w:lang w:val="pl-PL"/>
        </w:rPr>
        <w:t>4.3., 4.6., 4.7., 4.8., 4.9.1., 6.3.</w:t>
      </w:r>
      <w:r w:rsidRPr="00764DC6">
        <w:rPr>
          <w:rFonts w:ascii="Arial" w:hAnsi="Arial" w:cs="Arial"/>
          <w:sz w:val="18"/>
          <w:szCs w:val="18"/>
          <w:lang w:val="pl-PL"/>
        </w:rPr>
        <w:t xml:space="preserve"> </w:t>
      </w:r>
    </w:p>
    <w:p w14:paraId="0674B5CF" w14:textId="77777777" w:rsidR="00764DC6" w:rsidRPr="00764DC6" w:rsidRDefault="00764DC6" w:rsidP="00764DC6">
      <w:pPr>
        <w:tabs>
          <w:tab w:val="left" w:pos="439"/>
        </w:tabs>
        <w:ind w:left="426" w:hanging="426"/>
        <w:rPr>
          <w:rFonts w:ascii="Arial" w:hAnsi="Arial" w:cs="Arial"/>
          <w:lang w:val="pl-PL"/>
        </w:rPr>
      </w:pPr>
    </w:p>
    <w:p w14:paraId="69C3BE96" w14:textId="77777777" w:rsidR="00764DC6" w:rsidRPr="00764DC6" w:rsidRDefault="00764DC6" w:rsidP="00764DC6">
      <w:pPr>
        <w:tabs>
          <w:tab w:val="left" w:pos="439"/>
        </w:tabs>
        <w:ind w:left="426" w:hanging="426"/>
        <w:rPr>
          <w:rFonts w:ascii="Arial" w:hAnsi="Arial" w:cs="Arial"/>
          <w:lang w:val="pl-PL"/>
        </w:rPr>
      </w:pPr>
    </w:p>
    <w:p w14:paraId="70CB027F" w14:textId="77777777" w:rsidR="00764DC6" w:rsidRPr="00764DC6" w:rsidRDefault="00764DC6" w:rsidP="00764DC6">
      <w:pPr>
        <w:pStyle w:val="Akapitzlist"/>
        <w:numPr>
          <w:ilvl w:val="0"/>
          <w:numId w:val="1"/>
        </w:numPr>
        <w:ind w:left="0" w:firstLine="0"/>
        <w:rPr>
          <w:rFonts w:ascii="Arial" w:hAnsi="Arial" w:cs="Arial"/>
          <w:b/>
          <w:bCs/>
          <w:lang w:val="pl-PL"/>
        </w:rPr>
      </w:pPr>
      <w:r w:rsidRPr="00764DC6">
        <w:rPr>
          <w:rFonts w:ascii="Arial" w:hAnsi="Arial" w:cs="Arial"/>
          <w:b/>
          <w:bCs/>
          <w:lang w:val="pl-PL"/>
        </w:rPr>
        <w:t xml:space="preserve">POLITYKA INFORMACYJNA I KOMUNIKACJA Z INWESTORAMI </w:t>
      </w:r>
    </w:p>
    <w:p w14:paraId="0859DE27" w14:textId="77777777" w:rsidR="00764DC6" w:rsidRPr="00764DC6" w:rsidRDefault="00764DC6" w:rsidP="00764DC6">
      <w:pPr>
        <w:pStyle w:val="Akapitzlist"/>
        <w:tabs>
          <w:tab w:val="left" w:pos="439"/>
        </w:tabs>
        <w:ind w:left="426" w:hanging="426"/>
        <w:rPr>
          <w:rFonts w:ascii="Arial" w:hAnsi="Arial" w:cs="Arial"/>
          <w:lang w:val="pl-PL"/>
        </w:rPr>
      </w:pPr>
    </w:p>
    <w:p w14:paraId="5F935D18" w14:textId="77777777" w:rsidR="00764DC6" w:rsidRPr="00764DC6" w:rsidRDefault="00764DC6" w:rsidP="00764DC6">
      <w:pPr>
        <w:spacing w:line="204" w:lineRule="exact"/>
        <w:ind w:right="132"/>
        <w:jc w:val="both"/>
        <w:rPr>
          <w:rFonts w:ascii="Arial" w:hAnsi="Arial" w:cs="Arial"/>
          <w:sz w:val="15"/>
          <w:szCs w:val="15"/>
          <w:lang w:val="pl-PL"/>
        </w:rPr>
      </w:pPr>
      <w:r w:rsidRPr="00764DC6">
        <w:rPr>
          <w:rFonts w:ascii="Arial" w:hAnsi="Arial" w:cs="Arial"/>
          <w:b/>
          <w:bCs/>
          <w:color w:val="000000"/>
          <w:sz w:val="15"/>
          <w:szCs w:val="15"/>
          <w:lang w:val="pl-PL"/>
        </w:rPr>
        <w:t>W interesie wszystkich uczestników rynku i swoim własnym spółka giełdowa dba o należytą komunikację z</w:t>
      </w:r>
      <w:r w:rsidRPr="00764DC6">
        <w:rPr>
          <w:rFonts w:ascii="Arial" w:hAnsi="Arial" w:cs="Arial"/>
          <w:sz w:val="15"/>
          <w:szCs w:val="15"/>
          <w:lang w:val="pl-PL"/>
        </w:rPr>
        <w:t> </w:t>
      </w:r>
      <w:r w:rsidRPr="00764DC6">
        <w:rPr>
          <w:rFonts w:ascii="Arial" w:hAnsi="Arial" w:cs="Arial"/>
          <w:b/>
          <w:bCs/>
          <w:color w:val="000000"/>
          <w:sz w:val="15"/>
          <w:szCs w:val="15"/>
          <w:lang w:val="pl-PL"/>
        </w:rPr>
        <w:t>interesariuszami, prowadząc przejrzystą i rzetelną politykę informacyjną.</w:t>
      </w:r>
      <w:r w:rsidRPr="00764DC6">
        <w:rPr>
          <w:rFonts w:ascii="Arial" w:hAnsi="Arial" w:cs="Arial"/>
          <w:sz w:val="15"/>
          <w:szCs w:val="15"/>
          <w:lang w:val="pl-PL"/>
        </w:rPr>
        <w:t xml:space="preserve"> </w:t>
      </w:r>
    </w:p>
    <w:p w14:paraId="1CB7B3DA" w14:textId="77777777" w:rsidR="00764DC6" w:rsidRPr="00764DC6" w:rsidRDefault="00764DC6" w:rsidP="00764DC6">
      <w:pPr>
        <w:spacing w:line="204" w:lineRule="exact"/>
        <w:ind w:right="132"/>
        <w:jc w:val="both"/>
        <w:rPr>
          <w:rFonts w:ascii="Arial" w:hAnsi="Arial" w:cs="Arial"/>
          <w:sz w:val="15"/>
          <w:szCs w:val="15"/>
          <w:lang w:val="pl-PL"/>
        </w:rPr>
      </w:pPr>
    </w:p>
    <w:p w14:paraId="734AF75D" w14:textId="77777777" w:rsidR="00764DC6" w:rsidRPr="00764DC6" w:rsidRDefault="00764DC6" w:rsidP="00764DC6">
      <w:pPr>
        <w:spacing w:line="204" w:lineRule="exact"/>
        <w:ind w:right="132"/>
        <w:jc w:val="both"/>
        <w:rPr>
          <w:rFonts w:ascii="Arial" w:hAnsi="Arial" w:cs="Arial"/>
          <w:sz w:val="15"/>
          <w:szCs w:val="15"/>
          <w:lang w:val="pl-PL"/>
        </w:rPr>
      </w:pPr>
    </w:p>
    <w:p w14:paraId="188D362D" w14:textId="77777777" w:rsidR="00764DC6" w:rsidRPr="00764DC6" w:rsidRDefault="00764DC6" w:rsidP="00764DC6">
      <w:pPr>
        <w:spacing w:line="204" w:lineRule="exact"/>
        <w:ind w:right="132"/>
        <w:jc w:val="both"/>
        <w:rPr>
          <w:rFonts w:ascii="Arial" w:hAnsi="Arial" w:cs="Arial"/>
          <w:sz w:val="15"/>
          <w:szCs w:val="15"/>
          <w:lang w:val="pl-PL"/>
        </w:rPr>
      </w:pPr>
    </w:p>
    <w:p w14:paraId="678A3B79" w14:textId="59605A68" w:rsidR="00764DC6" w:rsidRPr="00764DC6" w:rsidRDefault="00764DC6" w:rsidP="00764DC6">
      <w:pPr>
        <w:pStyle w:val="Akapitzlist"/>
        <w:numPr>
          <w:ilvl w:val="1"/>
          <w:numId w:val="1"/>
        </w:numPr>
        <w:spacing w:line="204" w:lineRule="exact"/>
        <w:ind w:right="132"/>
        <w:jc w:val="both"/>
        <w:rPr>
          <w:rFonts w:ascii="Arial" w:hAnsi="Arial" w:cs="Arial"/>
          <w:color w:val="010302"/>
          <w:sz w:val="15"/>
          <w:szCs w:val="15"/>
          <w:lang w:val="pl-PL"/>
        </w:rPr>
      </w:pPr>
      <w:r w:rsidRPr="00764DC6">
        <w:rPr>
          <w:rFonts w:ascii="Arial" w:hAnsi="Arial" w:cs="Arial"/>
          <w:color w:val="010302"/>
          <w:sz w:val="15"/>
          <w:szCs w:val="15"/>
          <w:lang w:val="pl-PL"/>
        </w:rPr>
        <w:t xml:space="preserve">Spółka prowadzi sprawną komunikację z uczestnikami rynku kapitałowego, rzetelnie informując o sprawach jej dotyczących. W tym celu spółka wykorzystuje różnorodne narzędzia i formy porozumiewania się, w tym przede wszystkim korporacyjną stronę internetową, na której zamieszcza wszelkie informacje istotne dla inwestorów. </w:t>
      </w:r>
    </w:p>
    <w:p w14:paraId="44CC7388" w14:textId="77777777" w:rsidR="00764DC6" w:rsidRDefault="00764DC6" w:rsidP="00764DC6">
      <w:pPr>
        <w:spacing w:line="204" w:lineRule="exact"/>
        <w:ind w:left="360" w:right="132" w:firstLine="432"/>
        <w:jc w:val="both"/>
        <w:rPr>
          <w:rFonts w:ascii="Arial" w:hAnsi="Arial" w:cs="Arial"/>
          <w:i/>
          <w:iCs/>
          <w:color w:val="010302"/>
          <w:sz w:val="15"/>
          <w:szCs w:val="15"/>
          <w:u w:val="single"/>
          <w:lang w:val="pl-PL"/>
        </w:rPr>
      </w:pPr>
      <w:r w:rsidRPr="00764DC6">
        <w:rPr>
          <w:rFonts w:ascii="Arial" w:hAnsi="Arial" w:cs="Arial"/>
          <w:i/>
          <w:iCs/>
          <w:color w:val="010302"/>
          <w:sz w:val="15"/>
          <w:szCs w:val="15"/>
          <w:u w:val="single"/>
          <w:lang w:val="pl-PL"/>
        </w:rPr>
        <w:t>Zasada jest stosowana.</w:t>
      </w:r>
    </w:p>
    <w:p w14:paraId="2A0CBD65" w14:textId="77777777" w:rsidR="00764DC6" w:rsidRDefault="00764DC6" w:rsidP="00764DC6">
      <w:pPr>
        <w:spacing w:line="204" w:lineRule="exact"/>
        <w:ind w:left="360" w:right="132" w:firstLine="432"/>
        <w:jc w:val="both"/>
        <w:rPr>
          <w:rFonts w:ascii="Arial" w:hAnsi="Arial" w:cs="Arial"/>
          <w:i/>
          <w:iCs/>
          <w:color w:val="010302"/>
          <w:sz w:val="15"/>
          <w:szCs w:val="15"/>
          <w:u w:val="single"/>
          <w:lang w:val="pl-PL"/>
        </w:rPr>
      </w:pPr>
    </w:p>
    <w:p w14:paraId="426BE884" w14:textId="77777777" w:rsidR="00764DC6" w:rsidRDefault="00764DC6" w:rsidP="00764DC6">
      <w:pPr>
        <w:spacing w:line="204" w:lineRule="exact"/>
        <w:ind w:left="720" w:right="132"/>
        <w:jc w:val="both"/>
        <w:rPr>
          <w:rFonts w:ascii="Arial" w:hAnsi="Arial" w:cs="Arial"/>
          <w:i/>
          <w:iCs/>
          <w:color w:val="010302"/>
          <w:sz w:val="15"/>
          <w:szCs w:val="15"/>
          <w:u w:val="single"/>
          <w:lang w:val="pl-PL"/>
        </w:rPr>
      </w:pPr>
    </w:p>
    <w:p w14:paraId="3916FCB1" w14:textId="77777777" w:rsidR="00764DC6" w:rsidRPr="00764DC6" w:rsidRDefault="00764DC6" w:rsidP="00764DC6">
      <w:pPr>
        <w:pStyle w:val="Akapitzlist"/>
        <w:numPr>
          <w:ilvl w:val="1"/>
          <w:numId w:val="1"/>
        </w:numPr>
        <w:spacing w:line="204" w:lineRule="exact"/>
        <w:ind w:right="132"/>
        <w:jc w:val="both"/>
        <w:rPr>
          <w:rFonts w:ascii="Arial" w:hAnsi="Arial" w:cs="Arial"/>
          <w:color w:val="010302"/>
          <w:sz w:val="15"/>
          <w:szCs w:val="15"/>
          <w:lang w:val="pl-PL"/>
        </w:rPr>
      </w:pPr>
      <w:r w:rsidRPr="00764DC6">
        <w:rPr>
          <w:rFonts w:ascii="Arial" w:hAnsi="Arial" w:cs="Arial"/>
          <w:color w:val="010302"/>
          <w:sz w:val="15"/>
          <w:szCs w:val="15"/>
          <w:lang w:val="pl-PL"/>
        </w:rPr>
        <w:t xml:space="preserve">Spółka umożliwia zapoznanie się z osiągniętymi przez nią wynikami finansowymi zawartymi w raporcie okresowym w możliwie najkrótszym czasie po zakończeniu okresu sprawozdawczego, a jeżeli z uzasadnionych powodów nie jest to możliwe, jak najszybciej publikuje co najmniej wstępne szacunkowe wyniki finansowe. </w:t>
      </w:r>
    </w:p>
    <w:p w14:paraId="41E8EAF1" w14:textId="41836C6F" w:rsidR="00764DC6" w:rsidRPr="00764DC6" w:rsidRDefault="00764DC6" w:rsidP="00764DC6">
      <w:pPr>
        <w:pStyle w:val="Akapitzlist"/>
        <w:spacing w:line="204" w:lineRule="exact"/>
        <w:ind w:left="792" w:right="132"/>
        <w:jc w:val="both"/>
        <w:rPr>
          <w:rFonts w:ascii="Arial" w:hAnsi="Arial" w:cs="Arial"/>
          <w:i/>
          <w:iCs/>
          <w:color w:val="010302"/>
          <w:sz w:val="15"/>
          <w:szCs w:val="15"/>
          <w:u w:val="single"/>
          <w:lang w:val="pl-PL"/>
        </w:rPr>
      </w:pPr>
      <w:r w:rsidRPr="00764DC6">
        <w:rPr>
          <w:rFonts w:ascii="Arial" w:hAnsi="Arial" w:cs="Arial"/>
          <w:i/>
          <w:iCs/>
          <w:color w:val="010302"/>
          <w:sz w:val="15"/>
          <w:szCs w:val="15"/>
          <w:u w:val="single"/>
          <w:lang w:val="pl-PL"/>
        </w:rPr>
        <w:t xml:space="preserve">Zasada nie jest stosowana. </w:t>
      </w:r>
    </w:p>
    <w:p w14:paraId="1F89F4D2" w14:textId="69E3C220" w:rsidR="00764DC6" w:rsidRPr="00764DC6" w:rsidRDefault="00764DC6" w:rsidP="00764DC6">
      <w:pPr>
        <w:pStyle w:val="Akapitzlist"/>
        <w:spacing w:line="204" w:lineRule="exact"/>
        <w:ind w:left="792" w:right="132"/>
        <w:jc w:val="both"/>
        <w:rPr>
          <w:rFonts w:ascii="Arial" w:hAnsi="Arial" w:cs="Arial"/>
          <w:color w:val="010302"/>
          <w:sz w:val="15"/>
          <w:szCs w:val="15"/>
          <w:lang w:val="pl-PL"/>
        </w:rPr>
      </w:pPr>
      <w:r w:rsidRPr="00764DC6">
        <w:rPr>
          <w:rFonts w:ascii="Arial" w:hAnsi="Arial" w:cs="Arial"/>
          <w:b/>
          <w:bCs/>
          <w:i/>
          <w:iCs/>
          <w:color w:val="010302"/>
          <w:sz w:val="15"/>
          <w:szCs w:val="15"/>
          <w:lang w:val="pl-PL"/>
        </w:rPr>
        <w:t>Komentarz spółki:</w:t>
      </w:r>
      <w:r w:rsidRPr="00764DC6">
        <w:rPr>
          <w:rFonts w:ascii="Arial" w:hAnsi="Arial" w:cs="Arial"/>
          <w:color w:val="010302"/>
          <w:sz w:val="15"/>
          <w:szCs w:val="15"/>
          <w:lang w:val="pl-PL"/>
        </w:rPr>
        <w:t xml:space="preserve"> </w:t>
      </w:r>
      <w:r w:rsidRPr="00764DC6">
        <w:rPr>
          <w:rFonts w:ascii="Arial" w:hAnsi="Arial" w:cs="Arial"/>
          <w:i/>
          <w:iCs/>
          <w:color w:val="010302"/>
          <w:sz w:val="15"/>
          <w:szCs w:val="15"/>
          <w:lang w:val="pl-PL"/>
        </w:rPr>
        <w:t>Spółka zamierza kontynuować dotychczasową praktykę w zakresie terminów publikacji raportów okresowych. Raport roczny zazwyczaj jest publikowany w możliwie najkrótszym czasie i zazwyczaj poprzedzony jest publikacją wstępnych wyników. Z uwagi na zwiększenie obciążenia bieżącej działalności biznesowej Spółki obowiązkami regulacyjnymi i raportowymi raporty kwartalne są zazwyczaj</w:t>
      </w:r>
      <w:r w:rsidRPr="00764DC6">
        <w:rPr>
          <w:rFonts w:ascii="Arial" w:hAnsi="Arial" w:cs="Arial"/>
          <w:i/>
          <w:iCs/>
          <w:color w:val="010302"/>
          <w:sz w:val="15"/>
          <w:szCs w:val="15"/>
          <w:u w:val="single"/>
          <w:lang w:val="pl-PL"/>
        </w:rPr>
        <w:t xml:space="preserve"> </w:t>
      </w:r>
      <w:r w:rsidRPr="00764DC6">
        <w:rPr>
          <w:rFonts w:ascii="Arial" w:hAnsi="Arial" w:cs="Arial"/>
          <w:i/>
          <w:iCs/>
          <w:color w:val="010302"/>
          <w:sz w:val="15"/>
          <w:szCs w:val="15"/>
          <w:lang w:val="pl-PL"/>
        </w:rPr>
        <w:t>publikowane w terminie określonym przepisami prawa</w:t>
      </w:r>
      <w:r w:rsidRPr="00764DC6">
        <w:rPr>
          <w:rFonts w:ascii="Arial" w:hAnsi="Arial" w:cs="Arial"/>
          <w:color w:val="010302"/>
          <w:sz w:val="15"/>
          <w:szCs w:val="15"/>
          <w:lang w:val="pl-PL"/>
        </w:rPr>
        <w:t xml:space="preserve">. </w:t>
      </w:r>
    </w:p>
    <w:p w14:paraId="3386C72A" w14:textId="77777777" w:rsidR="00764DC6" w:rsidRDefault="00764DC6" w:rsidP="00764DC6">
      <w:pPr>
        <w:spacing w:line="204" w:lineRule="exact"/>
        <w:ind w:right="132"/>
        <w:jc w:val="both"/>
        <w:rPr>
          <w:rFonts w:ascii="Arial" w:hAnsi="Arial" w:cs="Arial"/>
          <w:i/>
          <w:iCs/>
          <w:color w:val="010302"/>
          <w:sz w:val="15"/>
          <w:szCs w:val="15"/>
          <w:u w:val="single"/>
          <w:lang w:val="pl-PL"/>
        </w:rPr>
      </w:pPr>
    </w:p>
    <w:p w14:paraId="436DCBFC" w14:textId="77777777" w:rsidR="00764DC6" w:rsidRDefault="00764DC6" w:rsidP="00764DC6">
      <w:pPr>
        <w:pStyle w:val="Akapitzlist"/>
        <w:numPr>
          <w:ilvl w:val="1"/>
          <w:numId w:val="1"/>
        </w:numPr>
        <w:spacing w:line="204" w:lineRule="exact"/>
        <w:ind w:right="132"/>
        <w:jc w:val="both"/>
        <w:rPr>
          <w:rFonts w:ascii="Arial" w:hAnsi="Arial" w:cs="Arial"/>
          <w:color w:val="010302"/>
          <w:sz w:val="15"/>
          <w:szCs w:val="15"/>
          <w:lang w:val="pl-PL"/>
        </w:rPr>
      </w:pPr>
      <w:r w:rsidRPr="00764DC6">
        <w:rPr>
          <w:rFonts w:ascii="Arial" w:hAnsi="Arial" w:cs="Arial"/>
          <w:color w:val="010302"/>
          <w:sz w:val="15"/>
          <w:szCs w:val="15"/>
          <w:lang w:val="pl-PL"/>
        </w:rPr>
        <w:t>W swojej strategii biznesowej spółka uwzględnia również tematykę ESG, w szczególności obejmującą:</w:t>
      </w:r>
      <w:r w:rsidRPr="00764DC6">
        <w:rPr>
          <w:rFonts w:ascii="Arial" w:hAnsi="Arial" w:cs="Arial"/>
          <w:color w:val="010302"/>
          <w:sz w:val="15"/>
          <w:szCs w:val="15"/>
          <w:lang w:val="pl-PL"/>
        </w:rPr>
        <w:cr/>
      </w:r>
    </w:p>
    <w:p w14:paraId="64E01A46" w14:textId="0E3DFCC4" w:rsidR="00764DC6" w:rsidRPr="00764DC6" w:rsidRDefault="00764DC6" w:rsidP="00764DC6">
      <w:pPr>
        <w:pStyle w:val="Akapitzlist"/>
        <w:numPr>
          <w:ilvl w:val="2"/>
          <w:numId w:val="1"/>
        </w:numPr>
        <w:spacing w:line="204" w:lineRule="exact"/>
        <w:ind w:right="132"/>
        <w:jc w:val="both"/>
        <w:rPr>
          <w:rFonts w:ascii="Arial" w:hAnsi="Arial" w:cs="Arial"/>
          <w:color w:val="010302"/>
          <w:sz w:val="15"/>
          <w:szCs w:val="15"/>
          <w:lang w:val="pl-PL"/>
        </w:rPr>
      </w:pPr>
      <w:r w:rsidRPr="00764DC6">
        <w:rPr>
          <w:rFonts w:ascii="Arial" w:hAnsi="Arial" w:cs="Arial"/>
          <w:color w:val="010302"/>
          <w:sz w:val="15"/>
          <w:szCs w:val="15"/>
          <w:lang w:val="pl-PL"/>
        </w:rPr>
        <w:t>zagadnienia środowiskowe, zawierające mierniki i ryzyka związane ze zmianami klimatu i zagadnienia zrównoważonego rozwoju;</w:t>
      </w:r>
    </w:p>
    <w:p w14:paraId="045CCF91" w14:textId="77777777" w:rsidR="00764DC6" w:rsidRPr="00764DC6" w:rsidRDefault="00764DC6" w:rsidP="00764DC6">
      <w:pPr>
        <w:spacing w:line="204" w:lineRule="exact"/>
        <w:ind w:left="504" w:right="132" w:firstLine="720"/>
        <w:jc w:val="both"/>
        <w:rPr>
          <w:rFonts w:ascii="Arial" w:hAnsi="Arial" w:cs="Arial"/>
          <w:i/>
          <w:iCs/>
          <w:color w:val="010302"/>
          <w:sz w:val="15"/>
          <w:szCs w:val="15"/>
          <w:u w:val="single"/>
          <w:lang w:val="pl-PL"/>
        </w:rPr>
      </w:pPr>
      <w:r w:rsidRPr="00764DC6">
        <w:rPr>
          <w:rFonts w:ascii="Arial" w:hAnsi="Arial" w:cs="Arial"/>
          <w:i/>
          <w:iCs/>
          <w:color w:val="010302"/>
          <w:sz w:val="15"/>
          <w:szCs w:val="15"/>
          <w:u w:val="single"/>
          <w:lang w:val="pl-PL"/>
        </w:rPr>
        <w:t>Zasada nie jest stosowana.</w:t>
      </w:r>
    </w:p>
    <w:p w14:paraId="0813E734" w14:textId="77777777" w:rsidR="00764DC6" w:rsidRPr="00764DC6" w:rsidRDefault="00764DC6" w:rsidP="00764DC6">
      <w:pPr>
        <w:spacing w:line="204" w:lineRule="exact"/>
        <w:ind w:left="1224" w:right="132"/>
        <w:jc w:val="both"/>
        <w:rPr>
          <w:rFonts w:ascii="Arial" w:hAnsi="Arial" w:cs="Arial"/>
          <w:i/>
          <w:iCs/>
          <w:color w:val="010302"/>
          <w:sz w:val="15"/>
          <w:szCs w:val="15"/>
          <w:lang w:val="pl-PL"/>
        </w:rPr>
      </w:pPr>
      <w:r w:rsidRPr="00764DC6">
        <w:rPr>
          <w:rFonts w:ascii="Arial" w:hAnsi="Arial" w:cs="Arial"/>
          <w:b/>
          <w:bCs/>
          <w:i/>
          <w:iCs/>
          <w:color w:val="010302"/>
          <w:sz w:val="15"/>
          <w:szCs w:val="15"/>
          <w:lang w:val="pl-PL"/>
        </w:rPr>
        <w:t>Komentarz spółki:</w:t>
      </w:r>
      <w:r w:rsidRPr="00764DC6">
        <w:rPr>
          <w:rFonts w:ascii="Arial" w:hAnsi="Arial" w:cs="Arial"/>
          <w:color w:val="010302"/>
          <w:sz w:val="15"/>
          <w:szCs w:val="15"/>
          <w:lang w:val="pl-PL"/>
        </w:rPr>
        <w:t xml:space="preserve"> </w:t>
      </w:r>
      <w:r w:rsidRPr="00764DC6">
        <w:rPr>
          <w:rFonts w:ascii="Arial" w:hAnsi="Arial" w:cs="Arial"/>
          <w:i/>
          <w:iCs/>
          <w:color w:val="010302"/>
          <w:sz w:val="15"/>
          <w:szCs w:val="15"/>
          <w:lang w:val="pl-PL"/>
        </w:rPr>
        <w:t>Spółka, w oparciu o swój model biznesowy, podejmuje aktywności uwzględniające działania w obszarach ESG - w tym zagadnienia środowiskowe i klimatyczne - a także inne zagadnienia z zakresu zrównoważonego rozwoju. Corocznie są one kompleksowo prezentowane interesariuszom Spółki w „Oświadczeniach na temat informacji niefinansowych”, które stanowią odrębną część Sprawozdań Zarządu z Działalności (część raportów rocznych, dostępnych m.in. na stronie internetowej Spółki w sekcji „Relacje inwestorskie”).</w:t>
      </w:r>
    </w:p>
    <w:p w14:paraId="658B7532" w14:textId="77777777" w:rsidR="00764DC6" w:rsidRPr="00764DC6" w:rsidRDefault="00764DC6" w:rsidP="00764DC6">
      <w:pPr>
        <w:pStyle w:val="Akapitzlist"/>
        <w:numPr>
          <w:ilvl w:val="0"/>
          <w:numId w:val="4"/>
        </w:numPr>
        <w:spacing w:line="204" w:lineRule="exact"/>
        <w:ind w:right="132"/>
        <w:jc w:val="both"/>
        <w:rPr>
          <w:rFonts w:ascii="Arial" w:hAnsi="Arial" w:cs="Arial"/>
          <w:vanish/>
          <w:color w:val="010302"/>
          <w:sz w:val="15"/>
          <w:szCs w:val="15"/>
          <w:lang w:val="pl-PL"/>
        </w:rPr>
      </w:pPr>
    </w:p>
    <w:p w14:paraId="7246C2B0" w14:textId="77777777" w:rsidR="00764DC6" w:rsidRPr="00764DC6" w:rsidRDefault="00764DC6" w:rsidP="00764DC6">
      <w:pPr>
        <w:pStyle w:val="Akapitzlist"/>
        <w:numPr>
          <w:ilvl w:val="1"/>
          <w:numId w:val="4"/>
        </w:numPr>
        <w:spacing w:line="204" w:lineRule="exact"/>
        <w:ind w:right="132"/>
        <w:jc w:val="both"/>
        <w:rPr>
          <w:rFonts w:ascii="Arial" w:hAnsi="Arial" w:cs="Arial"/>
          <w:vanish/>
          <w:color w:val="010302"/>
          <w:sz w:val="15"/>
          <w:szCs w:val="15"/>
          <w:lang w:val="pl-PL"/>
        </w:rPr>
      </w:pPr>
    </w:p>
    <w:p w14:paraId="01ED50EC" w14:textId="77777777" w:rsidR="00764DC6" w:rsidRPr="00764DC6" w:rsidRDefault="00764DC6" w:rsidP="00764DC6">
      <w:pPr>
        <w:pStyle w:val="Akapitzlist"/>
        <w:numPr>
          <w:ilvl w:val="1"/>
          <w:numId w:val="4"/>
        </w:numPr>
        <w:spacing w:line="204" w:lineRule="exact"/>
        <w:ind w:right="132"/>
        <w:jc w:val="both"/>
        <w:rPr>
          <w:rFonts w:ascii="Arial" w:hAnsi="Arial" w:cs="Arial"/>
          <w:vanish/>
          <w:color w:val="010302"/>
          <w:sz w:val="15"/>
          <w:szCs w:val="15"/>
          <w:lang w:val="pl-PL"/>
        </w:rPr>
      </w:pPr>
    </w:p>
    <w:p w14:paraId="0269E958" w14:textId="77777777" w:rsidR="00764DC6" w:rsidRPr="00764DC6" w:rsidRDefault="00764DC6" w:rsidP="00764DC6">
      <w:pPr>
        <w:pStyle w:val="Akapitzlist"/>
        <w:numPr>
          <w:ilvl w:val="1"/>
          <w:numId w:val="4"/>
        </w:numPr>
        <w:spacing w:line="204" w:lineRule="exact"/>
        <w:ind w:right="132"/>
        <w:jc w:val="both"/>
        <w:rPr>
          <w:rFonts w:ascii="Arial" w:hAnsi="Arial" w:cs="Arial"/>
          <w:vanish/>
          <w:color w:val="010302"/>
          <w:sz w:val="15"/>
          <w:szCs w:val="15"/>
          <w:lang w:val="pl-PL"/>
        </w:rPr>
      </w:pPr>
    </w:p>
    <w:p w14:paraId="36A94706" w14:textId="77777777" w:rsidR="00764DC6" w:rsidRPr="00764DC6" w:rsidRDefault="00764DC6" w:rsidP="00764DC6">
      <w:pPr>
        <w:pStyle w:val="Akapitzlist"/>
        <w:numPr>
          <w:ilvl w:val="2"/>
          <w:numId w:val="4"/>
        </w:numPr>
        <w:spacing w:line="204" w:lineRule="exact"/>
        <w:ind w:right="132"/>
        <w:jc w:val="both"/>
        <w:rPr>
          <w:rFonts w:ascii="Arial" w:hAnsi="Arial" w:cs="Arial"/>
          <w:vanish/>
          <w:color w:val="010302"/>
          <w:sz w:val="15"/>
          <w:szCs w:val="15"/>
          <w:lang w:val="pl-PL"/>
        </w:rPr>
      </w:pPr>
    </w:p>
    <w:p w14:paraId="57EA6BF4" w14:textId="34297CE6" w:rsidR="00764DC6" w:rsidRPr="00764DC6" w:rsidRDefault="00764DC6" w:rsidP="00764DC6">
      <w:pPr>
        <w:pStyle w:val="Akapitzlist"/>
        <w:numPr>
          <w:ilvl w:val="2"/>
          <w:numId w:val="4"/>
        </w:numPr>
        <w:spacing w:line="204" w:lineRule="exact"/>
        <w:ind w:right="132"/>
        <w:jc w:val="both"/>
        <w:rPr>
          <w:rFonts w:ascii="Arial" w:hAnsi="Arial" w:cs="Arial"/>
          <w:color w:val="010302"/>
          <w:sz w:val="15"/>
          <w:szCs w:val="15"/>
          <w:lang w:val="pl-PL"/>
        </w:rPr>
      </w:pPr>
      <w:r w:rsidRPr="00764DC6">
        <w:rPr>
          <w:rFonts w:ascii="Arial" w:hAnsi="Arial" w:cs="Arial"/>
          <w:color w:val="010302"/>
          <w:sz w:val="15"/>
          <w:szCs w:val="15"/>
          <w:lang w:val="pl-PL"/>
        </w:rPr>
        <w:t>sprawy społeczne i pracownicze, dotyczące m.in. podejmowanych i planowanych działań mających na celu zapewnienie równouprawnienia płci, należytych warunków pracy, poszanowania praw pracowników, dialogu ze społecznościami lokalnymi, relacji z klientami.</w:t>
      </w:r>
    </w:p>
    <w:p w14:paraId="573C46EE" w14:textId="77777777" w:rsidR="00764DC6" w:rsidRPr="00764DC6" w:rsidRDefault="00764DC6" w:rsidP="00764DC6">
      <w:pPr>
        <w:spacing w:line="204" w:lineRule="exact"/>
        <w:ind w:left="1224" w:right="132"/>
        <w:jc w:val="both"/>
        <w:rPr>
          <w:rFonts w:ascii="Arial" w:hAnsi="Arial" w:cs="Arial"/>
          <w:color w:val="010302"/>
          <w:sz w:val="15"/>
          <w:szCs w:val="15"/>
          <w:lang w:val="pl-PL"/>
        </w:rPr>
      </w:pPr>
      <w:r w:rsidRPr="00764DC6">
        <w:rPr>
          <w:rFonts w:ascii="Arial" w:hAnsi="Arial" w:cs="Arial"/>
          <w:i/>
          <w:iCs/>
          <w:color w:val="010302"/>
          <w:sz w:val="15"/>
          <w:szCs w:val="15"/>
          <w:u w:val="single"/>
          <w:lang w:val="pl-PL"/>
        </w:rPr>
        <w:t>Zasada nie jest stosowana</w:t>
      </w:r>
      <w:r w:rsidRPr="00764DC6">
        <w:rPr>
          <w:rFonts w:ascii="Arial" w:hAnsi="Arial" w:cs="Arial"/>
          <w:color w:val="010302"/>
          <w:sz w:val="15"/>
          <w:szCs w:val="15"/>
          <w:lang w:val="pl-PL"/>
        </w:rPr>
        <w:t>.</w:t>
      </w:r>
    </w:p>
    <w:p w14:paraId="752D2CCC" w14:textId="5089B22E" w:rsidR="00764DC6" w:rsidRPr="00764DC6" w:rsidRDefault="00764DC6" w:rsidP="00764DC6">
      <w:pPr>
        <w:spacing w:line="204" w:lineRule="exact"/>
        <w:ind w:left="1224" w:right="132"/>
        <w:jc w:val="both"/>
        <w:rPr>
          <w:rFonts w:ascii="Arial" w:hAnsi="Arial" w:cs="Arial"/>
          <w:i/>
          <w:iCs/>
          <w:color w:val="010302"/>
          <w:sz w:val="15"/>
          <w:szCs w:val="15"/>
          <w:lang w:val="pl-PL"/>
        </w:rPr>
      </w:pPr>
      <w:r w:rsidRPr="00764DC6">
        <w:rPr>
          <w:rFonts w:ascii="Arial" w:hAnsi="Arial" w:cs="Arial"/>
          <w:b/>
          <w:bCs/>
          <w:i/>
          <w:iCs/>
          <w:color w:val="010302"/>
          <w:sz w:val="15"/>
          <w:szCs w:val="15"/>
          <w:lang w:val="pl-PL"/>
        </w:rPr>
        <w:t>Komentarz spółki:</w:t>
      </w:r>
      <w:r w:rsidRPr="00764DC6">
        <w:rPr>
          <w:rFonts w:ascii="Arial" w:hAnsi="Arial" w:cs="Arial"/>
          <w:color w:val="010302"/>
          <w:sz w:val="15"/>
          <w:szCs w:val="15"/>
          <w:lang w:val="pl-PL"/>
        </w:rPr>
        <w:t xml:space="preserve"> </w:t>
      </w:r>
      <w:r w:rsidRPr="00764DC6">
        <w:rPr>
          <w:rFonts w:ascii="Arial" w:hAnsi="Arial" w:cs="Arial"/>
          <w:i/>
          <w:iCs/>
          <w:color w:val="010302"/>
          <w:sz w:val="15"/>
          <w:szCs w:val="15"/>
          <w:lang w:val="pl-PL"/>
        </w:rPr>
        <w:t>Spółka, w oparciu o swój model biznesowy, podejmuje aktywności uwzględniające działania w obszarach ESG - w tym zagadnienia środowiskowe i klimatyczne - a także inne zagadnienia z zakresu zrównoważonego rozwoju. Corocznie są one kompleksowo prezentowane interesariuszom Spółki w „Oświadczeniach na temat informacji niefinansowych”, które stanowią odrębną część Sprawozdań Zarządu z Działalności (część raportów rocznych, dostępnych m.in. na stronie internetowej Spółki w sekcji „Relacje</w:t>
      </w:r>
    </w:p>
    <w:p w14:paraId="13CC0698" w14:textId="77777777" w:rsidR="00764DC6" w:rsidRPr="00764DC6" w:rsidRDefault="00764DC6" w:rsidP="00764DC6">
      <w:pPr>
        <w:spacing w:line="204" w:lineRule="exact"/>
        <w:ind w:left="1224" w:right="132"/>
        <w:jc w:val="both"/>
        <w:rPr>
          <w:rFonts w:ascii="Arial" w:hAnsi="Arial" w:cs="Arial"/>
          <w:i/>
          <w:iCs/>
          <w:color w:val="010302"/>
          <w:sz w:val="15"/>
          <w:szCs w:val="15"/>
          <w:lang w:val="pl-PL"/>
        </w:rPr>
      </w:pPr>
      <w:r w:rsidRPr="00764DC6">
        <w:rPr>
          <w:rFonts w:ascii="Arial" w:hAnsi="Arial" w:cs="Arial"/>
          <w:i/>
          <w:iCs/>
          <w:color w:val="010302"/>
          <w:sz w:val="15"/>
          <w:szCs w:val="15"/>
          <w:lang w:val="pl-PL"/>
        </w:rPr>
        <w:t>inwestorskie”).</w:t>
      </w:r>
    </w:p>
    <w:p w14:paraId="617A9E30" w14:textId="77777777" w:rsidR="00764DC6" w:rsidRDefault="00764DC6" w:rsidP="00764DC6">
      <w:pPr>
        <w:spacing w:line="204" w:lineRule="exact"/>
        <w:ind w:left="1224" w:right="132"/>
        <w:jc w:val="both"/>
        <w:rPr>
          <w:rFonts w:ascii="Arial" w:hAnsi="Arial" w:cs="Arial"/>
          <w:color w:val="010302"/>
          <w:sz w:val="15"/>
          <w:szCs w:val="15"/>
          <w:lang w:val="pl-PL"/>
        </w:rPr>
      </w:pPr>
    </w:p>
    <w:p w14:paraId="5E3253D9" w14:textId="77777777" w:rsidR="00764DC6" w:rsidRDefault="00764DC6" w:rsidP="00764DC6">
      <w:pPr>
        <w:spacing w:line="204" w:lineRule="exact"/>
        <w:ind w:left="1224" w:right="132"/>
        <w:jc w:val="both"/>
        <w:rPr>
          <w:rFonts w:ascii="Arial" w:hAnsi="Arial" w:cs="Arial"/>
          <w:color w:val="010302"/>
          <w:sz w:val="15"/>
          <w:szCs w:val="15"/>
          <w:lang w:val="pl-PL"/>
        </w:rPr>
      </w:pPr>
    </w:p>
    <w:p w14:paraId="3F2846E7" w14:textId="77777777" w:rsidR="00764DC6" w:rsidRDefault="00764DC6" w:rsidP="00764DC6">
      <w:pPr>
        <w:pStyle w:val="Akapitzlist"/>
        <w:numPr>
          <w:ilvl w:val="1"/>
          <w:numId w:val="1"/>
        </w:numPr>
        <w:spacing w:line="204" w:lineRule="exact"/>
        <w:ind w:left="851" w:right="132" w:hanging="567"/>
        <w:jc w:val="both"/>
        <w:rPr>
          <w:rFonts w:ascii="Arial" w:hAnsi="Arial" w:cs="Arial"/>
          <w:color w:val="010302"/>
          <w:sz w:val="15"/>
          <w:szCs w:val="15"/>
          <w:lang w:val="pl-PL"/>
        </w:rPr>
      </w:pPr>
      <w:r w:rsidRPr="00764DC6">
        <w:rPr>
          <w:rFonts w:ascii="Arial" w:hAnsi="Arial" w:cs="Arial"/>
          <w:color w:val="010302"/>
          <w:sz w:val="15"/>
          <w:szCs w:val="15"/>
          <w:lang w:val="pl-PL"/>
        </w:rPr>
        <w:t>W celu zapewnienia należytej komunikacji z interesariuszami, w zakresie przyjętej strategii biznesowej spółka zamieszcza na swojej stronie internetowej informacje na temat założeń posiadanej strategii, mierzalnych celów, w tym zwłaszcza celów długoterminowych, planowanych działań oraz postępów w jej realizacji, określonych za pomocą mierników, finansowych i niefinansowych. Informacje na temat strategii w obszarze ESG powinny m.in.:</w:t>
      </w:r>
      <w:r w:rsidRPr="00764DC6">
        <w:rPr>
          <w:rFonts w:ascii="Arial" w:hAnsi="Arial" w:cs="Arial"/>
          <w:color w:val="010302"/>
          <w:sz w:val="15"/>
          <w:szCs w:val="15"/>
          <w:lang w:val="pl-PL"/>
        </w:rPr>
        <w:cr/>
      </w:r>
      <w:r w:rsidRPr="00764DC6">
        <w:rPr>
          <w:rFonts w:ascii="Arial" w:hAnsi="Arial" w:cs="Arial"/>
          <w:i/>
          <w:iCs/>
          <w:color w:val="010302"/>
          <w:sz w:val="15"/>
          <w:szCs w:val="15"/>
          <w:u w:val="single"/>
          <w:lang w:val="pl-PL"/>
        </w:rPr>
        <w:t>Zasada nie jest stosowana.</w:t>
      </w:r>
      <w:r w:rsidRPr="00764DC6">
        <w:rPr>
          <w:rFonts w:ascii="Arial" w:hAnsi="Arial" w:cs="Arial"/>
          <w:color w:val="010302"/>
          <w:sz w:val="15"/>
          <w:szCs w:val="15"/>
          <w:lang w:val="pl-PL"/>
        </w:rPr>
        <w:t xml:space="preserve"> </w:t>
      </w:r>
    </w:p>
    <w:p w14:paraId="5355A532" w14:textId="250CCC67" w:rsidR="00764DC6" w:rsidRPr="00764DC6" w:rsidRDefault="00764DC6" w:rsidP="00764DC6">
      <w:pPr>
        <w:pStyle w:val="Akapitzlist"/>
        <w:spacing w:line="204" w:lineRule="exact"/>
        <w:ind w:left="851" w:right="132"/>
        <w:jc w:val="both"/>
        <w:rPr>
          <w:rFonts w:ascii="Arial" w:hAnsi="Arial" w:cs="Arial"/>
          <w:i/>
          <w:iCs/>
          <w:color w:val="010302"/>
          <w:sz w:val="15"/>
          <w:szCs w:val="15"/>
          <w:lang w:val="pl-PL"/>
        </w:rPr>
      </w:pPr>
      <w:r w:rsidRPr="00764DC6">
        <w:rPr>
          <w:rFonts w:ascii="Arial" w:hAnsi="Arial" w:cs="Arial"/>
          <w:b/>
          <w:bCs/>
          <w:i/>
          <w:iCs/>
          <w:color w:val="010302"/>
          <w:sz w:val="15"/>
          <w:szCs w:val="15"/>
          <w:lang w:val="pl-PL"/>
        </w:rPr>
        <w:t>Komentarz spółki</w:t>
      </w:r>
      <w:r w:rsidRPr="00764DC6">
        <w:rPr>
          <w:rFonts w:ascii="Arial" w:hAnsi="Arial" w:cs="Arial"/>
          <w:color w:val="010302"/>
          <w:sz w:val="15"/>
          <w:szCs w:val="15"/>
          <w:lang w:val="pl-PL"/>
        </w:rPr>
        <w:t xml:space="preserve">: </w:t>
      </w:r>
      <w:r w:rsidRPr="00764DC6">
        <w:rPr>
          <w:rFonts w:ascii="Arial" w:hAnsi="Arial" w:cs="Arial"/>
          <w:i/>
          <w:iCs/>
          <w:color w:val="010302"/>
          <w:sz w:val="15"/>
          <w:szCs w:val="15"/>
          <w:lang w:val="pl-PL"/>
        </w:rPr>
        <w:t xml:space="preserve">Spółka, w oparciu o swój model biznesowy, podejmuje aktywności uwzględniające działania w obszarach ESG - w tym zagadnienia środowiskowe i klimatyczne - a także inne zagadnienia z zakresu zrównoważonego rozwoju. Corocznie są one kompleksowo prezentowane interesariuszom Spółki w „Oświadczeniach </w:t>
      </w:r>
      <w:r w:rsidR="00177DBF">
        <w:rPr>
          <w:rFonts w:ascii="Arial" w:hAnsi="Arial" w:cs="Arial"/>
          <w:i/>
          <w:iCs/>
          <w:color w:val="010302"/>
          <w:sz w:val="15"/>
          <w:szCs w:val="15"/>
          <w:lang w:val="pl-PL"/>
        </w:rPr>
        <w:t>o zrównoważonym rozwoju</w:t>
      </w:r>
      <w:r w:rsidRPr="00764DC6">
        <w:rPr>
          <w:rFonts w:ascii="Arial" w:hAnsi="Arial" w:cs="Arial"/>
          <w:i/>
          <w:iCs/>
          <w:color w:val="010302"/>
          <w:sz w:val="15"/>
          <w:szCs w:val="15"/>
          <w:lang w:val="pl-PL"/>
        </w:rPr>
        <w:t>”, które stanowią odrębną część Sprawozdań Zarządu z Działalności (część raportów rocznych, dostępnych m.in. na stronie internetowej Spółki w sekcji „Relacje inwestorskie”).</w:t>
      </w:r>
    </w:p>
    <w:p w14:paraId="3C6AC7B2" w14:textId="77777777" w:rsidR="00764DC6" w:rsidRDefault="00764DC6" w:rsidP="00764DC6">
      <w:pPr>
        <w:pStyle w:val="Akapitzlist"/>
        <w:spacing w:line="204" w:lineRule="exact"/>
        <w:ind w:left="851" w:right="132"/>
        <w:jc w:val="both"/>
        <w:rPr>
          <w:rFonts w:ascii="Arial" w:hAnsi="Arial" w:cs="Arial"/>
          <w:color w:val="010302"/>
          <w:sz w:val="15"/>
          <w:szCs w:val="15"/>
          <w:lang w:val="pl-PL"/>
        </w:rPr>
      </w:pPr>
    </w:p>
    <w:p w14:paraId="6001B673" w14:textId="7DA9AF97" w:rsidR="00764DC6" w:rsidRPr="00764DC6" w:rsidRDefault="00764DC6" w:rsidP="00764DC6">
      <w:pPr>
        <w:pStyle w:val="Akapitzlist"/>
        <w:numPr>
          <w:ilvl w:val="2"/>
          <w:numId w:val="1"/>
        </w:numPr>
        <w:spacing w:line="204" w:lineRule="exact"/>
        <w:ind w:right="132"/>
        <w:jc w:val="both"/>
        <w:rPr>
          <w:rFonts w:ascii="Arial" w:hAnsi="Arial" w:cs="Arial"/>
          <w:color w:val="010302"/>
          <w:sz w:val="15"/>
          <w:szCs w:val="15"/>
          <w:lang w:val="pl-PL"/>
        </w:rPr>
      </w:pPr>
      <w:r w:rsidRPr="00764DC6">
        <w:rPr>
          <w:rFonts w:ascii="Arial" w:hAnsi="Arial" w:cs="Arial"/>
          <w:color w:val="010302"/>
          <w:sz w:val="15"/>
          <w:szCs w:val="15"/>
          <w:lang w:val="pl-PL"/>
        </w:rPr>
        <w:t>objaśniać, w jaki sposób w procesach decyzyjnych w spółce i podmiotach z jej grupy uwzględniane są kwestie związane ze zmianą klimatu, wskazując na wynikające z tego ryzyka;</w:t>
      </w:r>
    </w:p>
    <w:p w14:paraId="3CC14E5E" w14:textId="77777777" w:rsidR="00764DC6" w:rsidRPr="00764DC6" w:rsidRDefault="00764DC6" w:rsidP="00764DC6">
      <w:pPr>
        <w:spacing w:line="204" w:lineRule="exact"/>
        <w:ind w:left="851" w:right="132" w:firstLine="373"/>
        <w:jc w:val="both"/>
        <w:rPr>
          <w:rFonts w:ascii="Arial" w:hAnsi="Arial" w:cs="Arial"/>
          <w:i/>
          <w:iCs/>
          <w:color w:val="010302"/>
          <w:sz w:val="15"/>
          <w:szCs w:val="15"/>
          <w:u w:val="single"/>
          <w:lang w:val="pl-PL"/>
        </w:rPr>
      </w:pPr>
      <w:r w:rsidRPr="00764DC6">
        <w:rPr>
          <w:rFonts w:ascii="Arial" w:hAnsi="Arial" w:cs="Arial"/>
          <w:i/>
          <w:iCs/>
          <w:color w:val="010302"/>
          <w:sz w:val="15"/>
          <w:szCs w:val="15"/>
          <w:u w:val="single"/>
          <w:lang w:val="pl-PL"/>
        </w:rPr>
        <w:t>Zasada nie jest stosowana.</w:t>
      </w:r>
    </w:p>
    <w:p w14:paraId="6E0E0E31" w14:textId="77777777" w:rsidR="00764DC6" w:rsidRPr="00764DC6" w:rsidRDefault="00764DC6" w:rsidP="00764DC6">
      <w:pPr>
        <w:spacing w:line="204" w:lineRule="exact"/>
        <w:ind w:left="1224" w:right="132"/>
        <w:jc w:val="both"/>
        <w:rPr>
          <w:rFonts w:ascii="Arial" w:hAnsi="Arial" w:cs="Arial"/>
          <w:i/>
          <w:iCs/>
          <w:color w:val="010302"/>
          <w:sz w:val="15"/>
          <w:szCs w:val="15"/>
          <w:lang w:val="pl-PL"/>
        </w:rPr>
      </w:pPr>
      <w:r w:rsidRPr="00764DC6">
        <w:rPr>
          <w:rFonts w:ascii="Arial" w:hAnsi="Arial" w:cs="Arial"/>
          <w:b/>
          <w:bCs/>
          <w:i/>
          <w:iCs/>
          <w:color w:val="010302"/>
          <w:sz w:val="15"/>
          <w:szCs w:val="15"/>
          <w:lang w:val="pl-PL"/>
        </w:rPr>
        <w:t>Komentarz spółki:</w:t>
      </w:r>
      <w:r w:rsidRPr="00764DC6">
        <w:rPr>
          <w:rFonts w:ascii="Arial" w:hAnsi="Arial" w:cs="Arial"/>
          <w:color w:val="010302"/>
          <w:sz w:val="15"/>
          <w:szCs w:val="15"/>
          <w:lang w:val="pl-PL"/>
        </w:rPr>
        <w:t xml:space="preserve"> </w:t>
      </w:r>
      <w:r w:rsidRPr="00764DC6">
        <w:rPr>
          <w:rFonts w:ascii="Arial" w:hAnsi="Arial" w:cs="Arial"/>
          <w:i/>
          <w:iCs/>
          <w:color w:val="010302"/>
          <w:sz w:val="15"/>
          <w:szCs w:val="15"/>
          <w:lang w:val="pl-PL"/>
        </w:rPr>
        <w:t>Spółka, w oparciu o swój model biznesowy, podejmuje aktywności uwzględniające działania w obszarach ESG - w tym zagadnienia środowiskowe i klimatyczne - a także inne zagadnienia z zakresu zrównoważonego rozwoju. Corocznie są one kompleksowo prezentowane interesariuszom Spółki w „Oświadczeniach na temat informacji niefinansowych”, które stanowią odrębną część Sprawozdań Zarządu z Działalności (część raportów rocznych, dostępnych m.in. na stronie internetowej Spółki w sekcji „Relacje inwestorskie”).</w:t>
      </w:r>
    </w:p>
    <w:p w14:paraId="2B817379" w14:textId="207AF0A2" w:rsidR="00764DC6" w:rsidRPr="00764DC6" w:rsidRDefault="00764DC6" w:rsidP="00764DC6">
      <w:pPr>
        <w:pStyle w:val="Akapitzlist"/>
        <w:numPr>
          <w:ilvl w:val="2"/>
          <w:numId w:val="1"/>
        </w:numPr>
        <w:spacing w:line="204" w:lineRule="exact"/>
        <w:ind w:right="132"/>
        <w:jc w:val="both"/>
        <w:rPr>
          <w:rFonts w:ascii="Arial" w:hAnsi="Arial" w:cs="Arial"/>
          <w:color w:val="010302"/>
          <w:sz w:val="15"/>
          <w:szCs w:val="15"/>
          <w:lang w:val="pl-PL"/>
        </w:rPr>
      </w:pPr>
      <w:r w:rsidRPr="00764DC6">
        <w:rPr>
          <w:rFonts w:ascii="Arial" w:hAnsi="Arial" w:cs="Arial"/>
          <w:color w:val="010302"/>
          <w:sz w:val="15"/>
          <w:szCs w:val="15"/>
          <w:lang w:val="pl-PL"/>
        </w:rPr>
        <w:lastRenderedPageBreak/>
        <w:t xml:space="preserve">przedstawiać wartość wskaźnika równości wynagrodzeń wypłacanych jej pracownikom, obliczanego jako procentowa różnica pomiędzy średnim miesięcznym wynagrodzeniem (z uwzględnieniem premii, nagród i innych dodatków) kobiet i mężczyzn za ostatni rok, oraz przedstawiać informacje o działaniach podjętych w celu likwidacji ewentualnych nierówności w tym zakresie, wraz z prezentacją </w:t>
      </w:r>
      <w:proofErr w:type="spellStart"/>
      <w:r w:rsidRPr="00764DC6">
        <w:rPr>
          <w:rFonts w:ascii="Arial" w:hAnsi="Arial" w:cs="Arial"/>
          <w:color w:val="010302"/>
          <w:sz w:val="15"/>
          <w:szCs w:val="15"/>
          <w:lang w:val="pl-PL"/>
        </w:rPr>
        <w:t>ryzyk</w:t>
      </w:r>
      <w:proofErr w:type="spellEnd"/>
      <w:r w:rsidRPr="00764DC6">
        <w:rPr>
          <w:rFonts w:ascii="Arial" w:hAnsi="Arial" w:cs="Arial"/>
          <w:color w:val="010302"/>
          <w:sz w:val="15"/>
          <w:szCs w:val="15"/>
          <w:lang w:val="pl-PL"/>
        </w:rPr>
        <w:t xml:space="preserve"> z tym związanych oraz horyzontem czasowym, w którym planowane jest doprowadzenie do równości.</w:t>
      </w:r>
    </w:p>
    <w:p w14:paraId="2037AB7F" w14:textId="77777777" w:rsidR="00764DC6" w:rsidRPr="00764DC6" w:rsidRDefault="00764DC6" w:rsidP="00764DC6">
      <w:pPr>
        <w:spacing w:line="204" w:lineRule="exact"/>
        <w:ind w:left="851" w:right="132" w:firstLine="373"/>
        <w:jc w:val="both"/>
        <w:rPr>
          <w:rFonts w:ascii="Arial" w:hAnsi="Arial" w:cs="Arial"/>
          <w:i/>
          <w:iCs/>
          <w:color w:val="010302"/>
          <w:sz w:val="15"/>
          <w:szCs w:val="15"/>
          <w:u w:val="single"/>
          <w:lang w:val="pl-PL"/>
        </w:rPr>
      </w:pPr>
      <w:r w:rsidRPr="00764DC6">
        <w:rPr>
          <w:rFonts w:ascii="Arial" w:hAnsi="Arial" w:cs="Arial"/>
          <w:i/>
          <w:iCs/>
          <w:color w:val="010302"/>
          <w:sz w:val="15"/>
          <w:szCs w:val="15"/>
          <w:u w:val="single"/>
          <w:lang w:val="pl-PL"/>
        </w:rPr>
        <w:t>Zasada nie jest stosowana.</w:t>
      </w:r>
    </w:p>
    <w:p w14:paraId="79E59DF8" w14:textId="77777777" w:rsidR="00764DC6" w:rsidRDefault="00764DC6" w:rsidP="00764DC6">
      <w:pPr>
        <w:spacing w:line="204" w:lineRule="exact"/>
        <w:ind w:left="1224" w:right="132"/>
        <w:jc w:val="both"/>
        <w:rPr>
          <w:rFonts w:ascii="Arial" w:hAnsi="Arial" w:cs="Arial"/>
          <w:color w:val="010302"/>
          <w:sz w:val="15"/>
          <w:szCs w:val="15"/>
          <w:lang w:val="pl-PL"/>
        </w:rPr>
      </w:pPr>
      <w:r w:rsidRPr="00764DC6">
        <w:rPr>
          <w:rFonts w:ascii="Arial" w:hAnsi="Arial" w:cs="Arial"/>
          <w:b/>
          <w:bCs/>
          <w:i/>
          <w:iCs/>
          <w:color w:val="010302"/>
          <w:sz w:val="15"/>
          <w:szCs w:val="15"/>
          <w:lang w:val="pl-PL"/>
        </w:rPr>
        <w:t>Komentarz spółki:</w:t>
      </w:r>
      <w:r w:rsidRPr="00764DC6">
        <w:rPr>
          <w:rFonts w:ascii="Arial" w:hAnsi="Arial" w:cs="Arial"/>
          <w:color w:val="010302"/>
          <w:sz w:val="15"/>
          <w:szCs w:val="15"/>
          <w:lang w:val="pl-PL"/>
        </w:rPr>
        <w:t xml:space="preserve"> </w:t>
      </w:r>
      <w:r w:rsidRPr="00764DC6">
        <w:rPr>
          <w:rFonts w:ascii="Arial" w:hAnsi="Arial" w:cs="Arial"/>
          <w:i/>
          <w:iCs/>
          <w:color w:val="010302"/>
          <w:sz w:val="15"/>
          <w:szCs w:val="15"/>
          <w:lang w:val="pl-PL"/>
        </w:rPr>
        <w:t>Spółka nie przedstawia wartości wskaźnika równości wynagrodzeń wypłacanych pracownikom. W Sprawozdaniu Zarządu z Działalności Spółka przedstawia zestawienie umów na czas określony i nieokreślony z podziałem na płeć, rodzaj etatu i rodzaj stanowiska.</w:t>
      </w:r>
      <w:r w:rsidRPr="00764DC6">
        <w:rPr>
          <w:rFonts w:ascii="Arial" w:hAnsi="Arial" w:cs="Arial"/>
          <w:i/>
          <w:iCs/>
          <w:color w:val="010302"/>
          <w:sz w:val="15"/>
          <w:szCs w:val="15"/>
          <w:lang w:val="pl-PL"/>
        </w:rPr>
        <w:cr/>
      </w:r>
    </w:p>
    <w:p w14:paraId="73B02D4C" w14:textId="65D28830" w:rsidR="00764DC6" w:rsidRPr="00764DC6" w:rsidRDefault="00764DC6" w:rsidP="00764DC6">
      <w:pPr>
        <w:pStyle w:val="Akapitzlist"/>
        <w:numPr>
          <w:ilvl w:val="1"/>
          <w:numId w:val="1"/>
        </w:numPr>
        <w:spacing w:line="204" w:lineRule="exact"/>
        <w:ind w:left="1224" w:right="132"/>
        <w:jc w:val="both"/>
        <w:rPr>
          <w:rFonts w:ascii="Arial" w:hAnsi="Arial" w:cs="Arial"/>
          <w:color w:val="010302"/>
          <w:sz w:val="15"/>
          <w:szCs w:val="15"/>
          <w:lang w:val="pl-PL"/>
        </w:rPr>
      </w:pPr>
      <w:r w:rsidRPr="00764DC6">
        <w:rPr>
          <w:rFonts w:ascii="Arial" w:hAnsi="Arial" w:cs="Arial"/>
          <w:color w:val="010302"/>
          <w:sz w:val="15"/>
          <w:szCs w:val="15"/>
          <w:lang w:val="pl-PL"/>
        </w:rPr>
        <w:t>Co najmniej raz w roku spółka ujawnia wydatki ponoszone przez nią i jej grupę na wspieranie kultury, sportu, instytucji charytatywnych, mediów, organizacji społecznych, związków zawodowych itp. Jeżeli w roku objętym sprawozdaniem spółka lub jej grupa ponosiły wydatki na tego rodzaju cele, informacja zawiera zestawienie tych wydatków.</w:t>
      </w:r>
    </w:p>
    <w:p w14:paraId="48C6A343" w14:textId="77777777" w:rsidR="00764DC6" w:rsidRPr="00764DC6" w:rsidRDefault="00764DC6" w:rsidP="00764DC6">
      <w:pPr>
        <w:spacing w:line="204" w:lineRule="exact"/>
        <w:ind w:left="1224" w:right="132"/>
        <w:jc w:val="both"/>
        <w:rPr>
          <w:rFonts w:ascii="Arial" w:hAnsi="Arial" w:cs="Arial"/>
          <w:i/>
          <w:iCs/>
          <w:color w:val="010302"/>
          <w:sz w:val="15"/>
          <w:szCs w:val="15"/>
          <w:u w:val="single"/>
          <w:lang w:val="pl-PL"/>
        </w:rPr>
      </w:pPr>
      <w:r w:rsidRPr="00764DC6">
        <w:rPr>
          <w:rFonts w:ascii="Arial" w:hAnsi="Arial" w:cs="Arial"/>
          <w:i/>
          <w:iCs/>
          <w:color w:val="010302"/>
          <w:sz w:val="15"/>
          <w:szCs w:val="15"/>
          <w:u w:val="single"/>
          <w:lang w:val="pl-PL"/>
        </w:rPr>
        <w:t>Zasada nie jest stosowana.</w:t>
      </w:r>
    </w:p>
    <w:p w14:paraId="2267CC69" w14:textId="77777777" w:rsidR="00764DC6" w:rsidRDefault="00764DC6" w:rsidP="00764DC6">
      <w:pPr>
        <w:spacing w:line="204" w:lineRule="exact"/>
        <w:ind w:left="1224" w:right="132"/>
        <w:jc w:val="both"/>
        <w:rPr>
          <w:rFonts w:ascii="Arial" w:hAnsi="Arial" w:cs="Arial"/>
          <w:i/>
          <w:iCs/>
          <w:color w:val="010302"/>
          <w:sz w:val="15"/>
          <w:szCs w:val="15"/>
          <w:lang w:val="pl-PL"/>
        </w:rPr>
      </w:pPr>
      <w:r w:rsidRPr="00764DC6">
        <w:rPr>
          <w:rFonts w:ascii="Arial" w:hAnsi="Arial" w:cs="Arial"/>
          <w:b/>
          <w:bCs/>
          <w:i/>
          <w:iCs/>
          <w:color w:val="010302"/>
          <w:sz w:val="15"/>
          <w:szCs w:val="15"/>
          <w:lang w:val="pl-PL"/>
        </w:rPr>
        <w:t>Komentarz spółki:</w:t>
      </w:r>
      <w:r w:rsidRPr="00764DC6">
        <w:rPr>
          <w:rFonts w:ascii="Arial" w:hAnsi="Arial" w:cs="Arial"/>
          <w:color w:val="010302"/>
          <w:sz w:val="15"/>
          <w:szCs w:val="15"/>
          <w:lang w:val="pl-PL"/>
        </w:rPr>
        <w:t xml:space="preserve"> </w:t>
      </w:r>
      <w:r w:rsidRPr="00764DC6">
        <w:rPr>
          <w:rFonts w:ascii="Arial" w:hAnsi="Arial" w:cs="Arial"/>
          <w:i/>
          <w:iCs/>
          <w:color w:val="010302"/>
          <w:sz w:val="15"/>
          <w:szCs w:val="15"/>
          <w:lang w:val="pl-PL"/>
        </w:rPr>
        <w:t>Spółka prowadzi działalność w zakresie wspierania wybranych aktywności z obszaru kultury, sportu, instytucji charytatywnych i innych organizacji społecznych w zakresie adekwatnym do skali i zwłaszcza znaczenia jej działalności oraz wpływu na społeczność lokalną, tj. mieszkańców Dębicy, gdzie jest zlokalizowany zakład produkcyjny Spółki, oraz szerzej – województwa podkarpackiego. Przekazanie do publicznej wiadomości zestawienia tego typu wydatków wymagałoby uprzedniego uzgodnienia z ww. organizacjami, co w opinii Spółki doprowadziłoby do jej zbędnego obciążenia czynnościami o charakterze administracyjnym, nieadekwatnego do potrzeb informacyjnych interesariuszy Spółki.</w:t>
      </w:r>
    </w:p>
    <w:p w14:paraId="0A4CB38D" w14:textId="77777777" w:rsidR="0063633F" w:rsidRDefault="0063633F" w:rsidP="00764DC6">
      <w:pPr>
        <w:spacing w:line="204" w:lineRule="exact"/>
        <w:ind w:left="1224" w:right="132"/>
        <w:jc w:val="both"/>
        <w:rPr>
          <w:rFonts w:ascii="Arial" w:hAnsi="Arial" w:cs="Arial"/>
          <w:i/>
          <w:iCs/>
          <w:color w:val="010302"/>
          <w:sz w:val="15"/>
          <w:szCs w:val="15"/>
          <w:lang w:val="pl-PL"/>
        </w:rPr>
      </w:pPr>
    </w:p>
    <w:p w14:paraId="0B7B2446" w14:textId="77777777" w:rsidR="0063633F" w:rsidRDefault="0063633F" w:rsidP="0063633F">
      <w:pPr>
        <w:pStyle w:val="Akapitzlist"/>
        <w:numPr>
          <w:ilvl w:val="1"/>
          <w:numId w:val="1"/>
        </w:numPr>
        <w:spacing w:line="204" w:lineRule="exact"/>
        <w:ind w:left="1224"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W przypadku spółki należącej do indeksu WIG20, mWIG40 lub sWIG80 raz na kwartał, a w przypadku pozostałych nie rzadziej niż raz w roku, spółka organizuje spotkanie dla inwestorów, zapraszając na nie w szczególności akcjonariuszy, analityków, ekspertów branżowych i przedstawicieli mediów. Podczas spotkania zarząd spółki prezentuje i komentuje przyjętą strategię i jej realizację, wyniki finansowe spółki i jej grupy, a także najważniejsze wydarzenia mające wpływ na działalność spółki i jej grupy, osiągane wyniki i perspektywy na przyszłość. Podczas organizowanych spotkań zarząd spółki publicznie udziela odpowiedzi i wyjaśnień na zadawane pytania. </w:t>
      </w:r>
    </w:p>
    <w:p w14:paraId="0AC7AEB2" w14:textId="77777777" w:rsidR="0063633F" w:rsidRDefault="0063633F" w:rsidP="0063633F">
      <w:pPr>
        <w:pStyle w:val="Akapitzlist"/>
        <w:spacing w:line="204" w:lineRule="exact"/>
        <w:ind w:left="1224" w:right="132"/>
        <w:jc w:val="both"/>
        <w:rPr>
          <w:rFonts w:ascii="Arial" w:hAnsi="Arial" w:cs="Arial"/>
          <w:i/>
          <w:iCs/>
          <w:color w:val="010302"/>
          <w:sz w:val="15"/>
          <w:szCs w:val="15"/>
          <w:lang w:val="pl-PL"/>
        </w:rPr>
      </w:pPr>
      <w:r w:rsidRPr="0063633F">
        <w:rPr>
          <w:rFonts w:ascii="Arial" w:hAnsi="Arial" w:cs="Arial"/>
          <w:i/>
          <w:iCs/>
          <w:color w:val="010302"/>
          <w:sz w:val="15"/>
          <w:szCs w:val="15"/>
          <w:u w:val="single"/>
          <w:lang w:val="pl-PL"/>
        </w:rPr>
        <w:t>Zasada nie jest stosowana.</w:t>
      </w:r>
      <w:r w:rsidRPr="0063633F">
        <w:rPr>
          <w:rFonts w:ascii="Arial" w:hAnsi="Arial" w:cs="Arial"/>
          <w:i/>
          <w:iCs/>
          <w:color w:val="010302"/>
          <w:sz w:val="15"/>
          <w:szCs w:val="15"/>
          <w:lang w:val="pl-PL"/>
        </w:rPr>
        <w:t xml:space="preserve"> </w:t>
      </w:r>
    </w:p>
    <w:p w14:paraId="4E87CC12" w14:textId="4C71110B" w:rsidR="0063633F" w:rsidRPr="0063633F" w:rsidRDefault="0063633F" w:rsidP="0063633F">
      <w:pPr>
        <w:pStyle w:val="Akapitzlist"/>
        <w:spacing w:line="204" w:lineRule="exact"/>
        <w:ind w:left="1224" w:right="132"/>
        <w:jc w:val="both"/>
        <w:rPr>
          <w:rFonts w:ascii="Arial" w:hAnsi="Arial" w:cs="Arial"/>
          <w:i/>
          <w:iCs/>
          <w:color w:val="010302"/>
          <w:sz w:val="15"/>
          <w:szCs w:val="15"/>
          <w:lang w:val="pl-PL"/>
        </w:rPr>
      </w:pPr>
      <w:r w:rsidRPr="0063633F">
        <w:rPr>
          <w:rFonts w:ascii="Arial" w:hAnsi="Arial" w:cs="Arial"/>
          <w:b/>
          <w:bCs/>
          <w:i/>
          <w:iCs/>
          <w:color w:val="010302"/>
          <w:sz w:val="15"/>
          <w:szCs w:val="15"/>
          <w:lang w:val="pl-PL"/>
        </w:rPr>
        <w:t>Komentarz spółki</w:t>
      </w:r>
      <w:r w:rsidRPr="0063633F">
        <w:rPr>
          <w:rFonts w:ascii="Arial" w:hAnsi="Arial" w:cs="Arial"/>
          <w:i/>
          <w:iCs/>
          <w:color w:val="010302"/>
          <w:sz w:val="15"/>
          <w:szCs w:val="15"/>
          <w:lang w:val="pl-PL"/>
        </w:rPr>
        <w:t>: Spółka organizuje spotkania dla inwestorów raz w roku</w:t>
      </w:r>
      <w:r w:rsidR="006712FE">
        <w:rPr>
          <w:rFonts w:ascii="Arial" w:hAnsi="Arial" w:cs="Arial"/>
          <w:i/>
          <w:iCs/>
          <w:color w:val="010302"/>
          <w:sz w:val="15"/>
          <w:szCs w:val="15"/>
          <w:lang w:val="pl-PL"/>
        </w:rPr>
        <w:t>.</w:t>
      </w:r>
      <w:r w:rsidRPr="0063633F">
        <w:rPr>
          <w:rFonts w:ascii="Arial" w:hAnsi="Arial" w:cs="Arial"/>
          <w:i/>
          <w:iCs/>
          <w:color w:val="010302"/>
          <w:sz w:val="15"/>
          <w:szCs w:val="15"/>
          <w:lang w:val="pl-PL"/>
        </w:rPr>
        <w:t xml:space="preserve"> Podczas t</w:t>
      </w:r>
      <w:r w:rsidR="006712FE">
        <w:rPr>
          <w:rFonts w:ascii="Arial" w:hAnsi="Arial" w:cs="Arial"/>
          <w:i/>
          <w:iCs/>
          <w:color w:val="010302"/>
          <w:sz w:val="15"/>
          <w:szCs w:val="15"/>
          <w:lang w:val="pl-PL"/>
        </w:rPr>
        <w:t>ego</w:t>
      </w:r>
      <w:r w:rsidRPr="0063633F">
        <w:rPr>
          <w:rFonts w:ascii="Arial" w:hAnsi="Arial" w:cs="Arial"/>
          <w:i/>
          <w:iCs/>
          <w:color w:val="010302"/>
          <w:sz w:val="15"/>
          <w:szCs w:val="15"/>
          <w:lang w:val="pl-PL"/>
        </w:rPr>
        <w:t xml:space="preserve"> spotka</w:t>
      </w:r>
      <w:r w:rsidR="006712FE">
        <w:rPr>
          <w:rFonts w:ascii="Arial" w:hAnsi="Arial" w:cs="Arial"/>
          <w:i/>
          <w:iCs/>
          <w:color w:val="010302"/>
          <w:sz w:val="15"/>
          <w:szCs w:val="15"/>
          <w:lang w:val="pl-PL"/>
        </w:rPr>
        <w:t>nia</w:t>
      </w:r>
      <w:r w:rsidRPr="0063633F">
        <w:rPr>
          <w:rFonts w:ascii="Arial" w:hAnsi="Arial" w:cs="Arial"/>
          <w:i/>
          <w:iCs/>
          <w:color w:val="010302"/>
          <w:sz w:val="15"/>
          <w:szCs w:val="15"/>
          <w:lang w:val="pl-PL"/>
        </w:rPr>
        <w:t xml:space="preserve"> zarząd Spółki prezentuje i komentuje wyniki finansowe Spółki, a także najważniejsze wydarzenia mające wpływ na działalność Spółki, osiągane wyniki i perspektywy na przyszłość. </w:t>
      </w:r>
    </w:p>
    <w:p w14:paraId="29EABA9A" w14:textId="77777777" w:rsidR="0063633F" w:rsidRPr="0063633F" w:rsidRDefault="0063633F" w:rsidP="0063633F">
      <w:pPr>
        <w:pStyle w:val="Akapitzlist"/>
        <w:spacing w:line="204" w:lineRule="exact"/>
        <w:ind w:left="1224" w:right="132"/>
        <w:jc w:val="both"/>
        <w:rPr>
          <w:rFonts w:ascii="Arial" w:hAnsi="Arial" w:cs="Arial"/>
          <w:color w:val="010302"/>
          <w:sz w:val="15"/>
          <w:szCs w:val="15"/>
          <w:lang w:val="pl-PL"/>
        </w:rPr>
      </w:pPr>
    </w:p>
    <w:p w14:paraId="02E6AB63" w14:textId="77777777" w:rsidR="0063633F" w:rsidRDefault="0063633F" w:rsidP="0063633F">
      <w:pPr>
        <w:pStyle w:val="Akapitzlist"/>
        <w:numPr>
          <w:ilvl w:val="1"/>
          <w:numId w:val="1"/>
        </w:numPr>
        <w:spacing w:line="204" w:lineRule="exact"/>
        <w:ind w:left="1276"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W przypadku zgłoszenia przez inwestora żądania udzielenia informacji na temat spółki, spółka udziela odpowiedzi niezwłocznie, lecz nie później niż w terminie 14 dni. </w:t>
      </w:r>
    </w:p>
    <w:p w14:paraId="319676D3" w14:textId="77777777" w:rsidR="0063633F" w:rsidRPr="0063633F" w:rsidRDefault="0063633F" w:rsidP="0063633F">
      <w:pPr>
        <w:pStyle w:val="Akapitzlist"/>
        <w:spacing w:line="204" w:lineRule="exact"/>
        <w:ind w:left="1276" w:right="132"/>
        <w:jc w:val="both"/>
        <w:rPr>
          <w:rFonts w:ascii="Arial" w:hAnsi="Arial" w:cs="Arial"/>
          <w:color w:val="010302"/>
          <w:sz w:val="15"/>
          <w:szCs w:val="15"/>
          <w:u w:val="single"/>
          <w:lang w:val="pl-PL"/>
        </w:rPr>
      </w:pPr>
      <w:r w:rsidRPr="0063633F">
        <w:rPr>
          <w:rFonts w:ascii="Arial" w:hAnsi="Arial" w:cs="Arial"/>
          <w:i/>
          <w:iCs/>
          <w:color w:val="010302"/>
          <w:sz w:val="15"/>
          <w:szCs w:val="15"/>
          <w:u w:val="single"/>
          <w:lang w:val="pl-PL"/>
        </w:rPr>
        <w:t>Zasada nie jest stosowana.</w:t>
      </w:r>
      <w:r w:rsidRPr="0063633F">
        <w:rPr>
          <w:rFonts w:ascii="Arial" w:hAnsi="Arial" w:cs="Arial"/>
          <w:color w:val="010302"/>
          <w:sz w:val="15"/>
          <w:szCs w:val="15"/>
          <w:u w:val="single"/>
          <w:lang w:val="pl-PL"/>
        </w:rPr>
        <w:t xml:space="preserve"> </w:t>
      </w:r>
    </w:p>
    <w:p w14:paraId="782E9481" w14:textId="77777777" w:rsidR="0063633F" w:rsidRDefault="0063633F" w:rsidP="0063633F">
      <w:pPr>
        <w:pStyle w:val="Akapitzlist"/>
        <w:spacing w:line="204" w:lineRule="exact"/>
        <w:ind w:left="1276" w:right="132"/>
        <w:jc w:val="both"/>
        <w:rPr>
          <w:rFonts w:ascii="Arial" w:hAnsi="Arial" w:cs="Arial"/>
          <w:i/>
          <w:iCs/>
          <w:color w:val="010302"/>
          <w:sz w:val="15"/>
          <w:szCs w:val="15"/>
          <w:lang w:val="pl-PL"/>
        </w:rPr>
      </w:pPr>
      <w:r w:rsidRPr="0063633F">
        <w:rPr>
          <w:rFonts w:ascii="Arial" w:hAnsi="Arial" w:cs="Arial"/>
          <w:b/>
          <w:bCs/>
          <w:i/>
          <w:iCs/>
          <w:color w:val="010302"/>
          <w:sz w:val="15"/>
          <w:szCs w:val="15"/>
          <w:lang w:val="pl-PL"/>
        </w:rPr>
        <w:t>Komentarz spółki:</w:t>
      </w:r>
      <w:r w:rsidRPr="0063633F">
        <w:rPr>
          <w:rFonts w:ascii="Arial" w:hAnsi="Arial" w:cs="Arial"/>
          <w:i/>
          <w:iCs/>
          <w:color w:val="010302"/>
          <w:sz w:val="15"/>
          <w:szCs w:val="15"/>
          <w:lang w:val="pl-PL"/>
        </w:rPr>
        <w:t xml:space="preserve"> Spółka udziela akcjonariuszom informacji zgodnie z przepisami prawa, w szczególności zgodnie z przepisami Kodeksu Spółek Handlowych. Inwestorzy mają dostęp do informacji opublikowanych na stronie internetowej Spółki oraz w systemie ESPI w zakresie wymaganym przepisami prawa, a także mają możliwość w uczestniczeniu w spotkaniach organizowanych dla inwestorów i zadawania pytań.</w:t>
      </w:r>
    </w:p>
    <w:p w14:paraId="6E5F31A0" w14:textId="77777777" w:rsidR="0063633F" w:rsidRDefault="0063633F" w:rsidP="0063633F">
      <w:pPr>
        <w:pStyle w:val="Akapitzlist"/>
        <w:spacing w:line="204" w:lineRule="exact"/>
        <w:ind w:left="1276" w:right="132"/>
        <w:jc w:val="both"/>
        <w:rPr>
          <w:rFonts w:ascii="Arial" w:hAnsi="Arial" w:cs="Arial"/>
          <w:i/>
          <w:iCs/>
          <w:color w:val="010302"/>
          <w:sz w:val="15"/>
          <w:szCs w:val="15"/>
          <w:lang w:val="pl-PL"/>
        </w:rPr>
      </w:pPr>
    </w:p>
    <w:p w14:paraId="741B8CD9" w14:textId="77777777" w:rsidR="0063633F" w:rsidRDefault="0063633F" w:rsidP="0063633F">
      <w:pPr>
        <w:pStyle w:val="Akapitzlist"/>
        <w:spacing w:line="204" w:lineRule="exact"/>
        <w:ind w:left="1276" w:right="132"/>
        <w:jc w:val="both"/>
        <w:rPr>
          <w:rFonts w:ascii="Arial" w:hAnsi="Arial" w:cs="Arial"/>
          <w:i/>
          <w:iCs/>
          <w:color w:val="010302"/>
          <w:sz w:val="15"/>
          <w:szCs w:val="15"/>
          <w:lang w:val="pl-PL"/>
        </w:rPr>
      </w:pPr>
    </w:p>
    <w:p w14:paraId="2EBD1A54" w14:textId="77777777" w:rsidR="0063633F" w:rsidRDefault="0063633F" w:rsidP="0063633F">
      <w:pPr>
        <w:pStyle w:val="Akapitzlist"/>
        <w:spacing w:line="204" w:lineRule="exact"/>
        <w:ind w:left="1276" w:right="132"/>
        <w:jc w:val="both"/>
        <w:rPr>
          <w:rFonts w:ascii="Arial" w:hAnsi="Arial" w:cs="Arial"/>
          <w:i/>
          <w:iCs/>
          <w:color w:val="010302"/>
          <w:sz w:val="15"/>
          <w:szCs w:val="15"/>
          <w:lang w:val="pl-PL"/>
        </w:rPr>
      </w:pPr>
    </w:p>
    <w:p w14:paraId="27A7CF1A" w14:textId="475ECB82" w:rsidR="0063633F" w:rsidRPr="00764DC6" w:rsidRDefault="0063633F" w:rsidP="0063633F">
      <w:pPr>
        <w:pStyle w:val="Akapitzlist"/>
        <w:numPr>
          <w:ilvl w:val="0"/>
          <w:numId w:val="1"/>
        </w:numPr>
        <w:ind w:left="0" w:firstLine="0"/>
        <w:rPr>
          <w:rFonts w:ascii="Arial" w:hAnsi="Arial" w:cs="Arial"/>
          <w:b/>
          <w:bCs/>
          <w:lang w:val="pl-PL"/>
        </w:rPr>
      </w:pPr>
      <w:r>
        <w:rPr>
          <w:rFonts w:ascii="Arial" w:hAnsi="Arial" w:cs="Arial"/>
          <w:b/>
          <w:bCs/>
          <w:lang w:val="pl-PL"/>
        </w:rPr>
        <w:t>ZARZĄD I RADA NADZORCZA</w:t>
      </w:r>
    </w:p>
    <w:p w14:paraId="3DBB5635" w14:textId="77777777" w:rsidR="0063633F" w:rsidRDefault="0063633F" w:rsidP="0063633F">
      <w:pPr>
        <w:pStyle w:val="Akapitzlist"/>
        <w:spacing w:line="204" w:lineRule="exact"/>
        <w:ind w:left="1276" w:right="132"/>
        <w:jc w:val="both"/>
        <w:rPr>
          <w:rFonts w:ascii="Arial" w:hAnsi="Arial" w:cs="Arial"/>
          <w:color w:val="010302"/>
          <w:sz w:val="15"/>
          <w:szCs w:val="15"/>
          <w:lang w:val="pl-PL"/>
        </w:rPr>
      </w:pPr>
    </w:p>
    <w:p w14:paraId="7A2C1A2E" w14:textId="77777777" w:rsidR="0063633F" w:rsidRDefault="0063633F" w:rsidP="0063633F">
      <w:pPr>
        <w:pStyle w:val="Akapitzlist"/>
        <w:spacing w:line="204" w:lineRule="exact"/>
        <w:ind w:left="1276" w:right="132"/>
        <w:jc w:val="both"/>
        <w:rPr>
          <w:rFonts w:ascii="Arial" w:hAnsi="Arial" w:cs="Arial"/>
          <w:color w:val="010302"/>
          <w:sz w:val="15"/>
          <w:szCs w:val="15"/>
          <w:lang w:val="pl-PL"/>
        </w:rPr>
      </w:pPr>
    </w:p>
    <w:p w14:paraId="43545389" w14:textId="0F640D72" w:rsidR="0063633F" w:rsidRPr="0063633F" w:rsidRDefault="0063633F" w:rsidP="0063633F">
      <w:pPr>
        <w:pStyle w:val="Akapitzlist"/>
        <w:spacing w:line="204" w:lineRule="exact"/>
        <w:ind w:left="0" w:right="132"/>
        <w:jc w:val="both"/>
        <w:rPr>
          <w:rFonts w:ascii="Arial" w:hAnsi="Arial" w:cs="Arial"/>
          <w:b/>
          <w:bCs/>
          <w:color w:val="010302"/>
          <w:sz w:val="15"/>
          <w:szCs w:val="15"/>
          <w:lang w:val="pl-PL"/>
        </w:rPr>
      </w:pPr>
      <w:r w:rsidRPr="0063633F">
        <w:rPr>
          <w:rFonts w:ascii="Arial" w:hAnsi="Arial" w:cs="Arial"/>
          <w:b/>
          <w:bCs/>
          <w:color w:val="010302"/>
          <w:sz w:val="15"/>
          <w:szCs w:val="15"/>
          <w:lang w:val="pl-PL"/>
        </w:rPr>
        <w:t>W celu osiągnięcia najwyższych standardów w zakresie wykonywania przez zarząd i radę nadzorczą spółki swoich obowiązków i wywiązywania się z nich w sposób efektywny, w skład zarządu i rady nadzorczej powoływane są wyłącznie osoby posiadające odpowiednie kompetencje, umiejętności i doświadczenie.</w:t>
      </w:r>
    </w:p>
    <w:p w14:paraId="4F99CBD4" w14:textId="77777777" w:rsidR="0063633F" w:rsidRPr="0063633F" w:rsidRDefault="0063633F" w:rsidP="0063633F">
      <w:pPr>
        <w:spacing w:line="204" w:lineRule="exact"/>
        <w:ind w:right="132"/>
        <w:jc w:val="both"/>
        <w:rPr>
          <w:rFonts w:ascii="Arial" w:hAnsi="Arial" w:cs="Arial"/>
          <w:b/>
          <w:bCs/>
          <w:color w:val="010302"/>
          <w:sz w:val="15"/>
          <w:szCs w:val="15"/>
          <w:lang w:val="pl-PL"/>
        </w:rPr>
      </w:pPr>
    </w:p>
    <w:p w14:paraId="53D4AE93" w14:textId="04C540A5" w:rsidR="0063633F" w:rsidRPr="0063633F" w:rsidRDefault="0063633F" w:rsidP="0063633F">
      <w:pPr>
        <w:spacing w:line="204" w:lineRule="exact"/>
        <w:ind w:right="132"/>
        <w:jc w:val="both"/>
        <w:rPr>
          <w:rFonts w:ascii="Arial" w:hAnsi="Arial" w:cs="Arial"/>
          <w:b/>
          <w:bCs/>
          <w:color w:val="010302"/>
          <w:sz w:val="15"/>
          <w:szCs w:val="15"/>
          <w:lang w:val="pl-PL"/>
        </w:rPr>
      </w:pPr>
      <w:r w:rsidRPr="0063633F">
        <w:rPr>
          <w:rFonts w:ascii="Arial" w:hAnsi="Arial" w:cs="Arial"/>
          <w:b/>
          <w:bCs/>
          <w:color w:val="010302"/>
          <w:sz w:val="15"/>
          <w:szCs w:val="15"/>
          <w:lang w:val="pl-PL"/>
        </w:rPr>
        <w:t>Członkowie zarządu działają w interesie spółki i ponoszą odpowiedzialność za jej działalność. Do zarządu należy w szczególności przywództwo w spółce, zaangażowanie w wyznaczanie jej celów strategicznych i ich realizacja oraz zapewnienie spółce efektywności i bezpieczeństwa.</w:t>
      </w:r>
    </w:p>
    <w:p w14:paraId="26CE9EDA" w14:textId="77777777" w:rsidR="0063633F" w:rsidRPr="0063633F" w:rsidRDefault="0063633F" w:rsidP="0063633F">
      <w:pPr>
        <w:spacing w:line="204" w:lineRule="exact"/>
        <w:ind w:right="132"/>
        <w:jc w:val="both"/>
        <w:rPr>
          <w:rFonts w:ascii="Arial" w:hAnsi="Arial" w:cs="Arial"/>
          <w:b/>
          <w:bCs/>
          <w:color w:val="010302"/>
          <w:sz w:val="15"/>
          <w:szCs w:val="15"/>
          <w:lang w:val="pl-PL"/>
        </w:rPr>
      </w:pPr>
    </w:p>
    <w:p w14:paraId="30CA75E4" w14:textId="77777777" w:rsidR="0063633F" w:rsidRDefault="0063633F" w:rsidP="0063633F">
      <w:pPr>
        <w:spacing w:line="204" w:lineRule="exact"/>
        <w:ind w:right="132"/>
        <w:jc w:val="both"/>
        <w:rPr>
          <w:lang w:val="pl-PL"/>
        </w:rPr>
      </w:pPr>
      <w:r w:rsidRPr="0063633F">
        <w:rPr>
          <w:rFonts w:ascii="Arial" w:hAnsi="Arial" w:cs="Arial"/>
          <w:b/>
          <w:bCs/>
          <w:color w:val="010302"/>
          <w:sz w:val="15"/>
          <w:szCs w:val="15"/>
          <w:lang w:val="pl-PL"/>
        </w:rPr>
        <w:t>Członkowie rady nadzorczej w zakresie sprawowanej funkcji i wykonywanych obowiązków w radzie nadzorczej kierują się w swoim postępowaniu, w tym w podejmowaniu decyzji, niezależnością własnych opinii i osądów, działając w interesie spółki.</w:t>
      </w:r>
      <w:r w:rsidRPr="0063633F">
        <w:rPr>
          <w:lang w:val="pl-PL"/>
        </w:rPr>
        <w:t xml:space="preserve"> </w:t>
      </w:r>
    </w:p>
    <w:p w14:paraId="03DFB433" w14:textId="77777777" w:rsidR="0063633F" w:rsidRDefault="0063633F" w:rsidP="0063633F">
      <w:pPr>
        <w:spacing w:line="204" w:lineRule="exact"/>
        <w:ind w:right="132"/>
        <w:jc w:val="both"/>
        <w:rPr>
          <w:lang w:val="pl-PL"/>
        </w:rPr>
      </w:pPr>
    </w:p>
    <w:p w14:paraId="51A7C2AD" w14:textId="77777777" w:rsidR="0063633F" w:rsidRDefault="0063633F" w:rsidP="0063633F">
      <w:pPr>
        <w:spacing w:line="204" w:lineRule="exact"/>
        <w:ind w:right="132"/>
        <w:jc w:val="both"/>
        <w:rPr>
          <w:rFonts w:ascii="Arial" w:hAnsi="Arial" w:cs="Arial"/>
          <w:b/>
          <w:bCs/>
          <w:color w:val="010302"/>
          <w:sz w:val="15"/>
          <w:szCs w:val="15"/>
          <w:lang w:val="pl-PL"/>
        </w:rPr>
      </w:pPr>
      <w:r w:rsidRPr="0063633F">
        <w:rPr>
          <w:rFonts w:ascii="Arial" w:hAnsi="Arial" w:cs="Arial"/>
          <w:b/>
          <w:bCs/>
          <w:color w:val="010302"/>
          <w:sz w:val="15"/>
          <w:szCs w:val="15"/>
          <w:lang w:val="pl-PL"/>
        </w:rPr>
        <w:t>Rada nadzorcza pracuje w kulturze debaty, analizując sytuację spółki na tle branży i rynku na podstawie</w:t>
      </w:r>
      <w:r>
        <w:rPr>
          <w:rFonts w:ascii="Arial" w:hAnsi="Arial" w:cs="Arial"/>
          <w:b/>
          <w:bCs/>
          <w:color w:val="010302"/>
          <w:sz w:val="15"/>
          <w:szCs w:val="15"/>
          <w:lang w:val="pl-PL"/>
        </w:rPr>
        <w:t xml:space="preserve"> </w:t>
      </w:r>
      <w:r w:rsidRPr="0063633F">
        <w:rPr>
          <w:rFonts w:ascii="Arial" w:hAnsi="Arial" w:cs="Arial"/>
          <w:b/>
          <w:bCs/>
          <w:color w:val="010302"/>
          <w:sz w:val="15"/>
          <w:szCs w:val="15"/>
          <w:lang w:val="pl-PL"/>
        </w:rPr>
        <w:t>materiałów przekazywanych jej przez zarząd spółki oraz systemy i funkcje wewnętrzne spółki, a także</w:t>
      </w:r>
      <w:r>
        <w:rPr>
          <w:rFonts w:ascii="Arial" w:hAnsi="Arial" w:cs="Arial"/>
          <w:b/>
          <w:bCs/>
          <w:color w:val="010302"/>
          <w:sz w:val="15"/>
          <w:szCs w:val="15"/>
          <w:lang w:val="pl-PL"/>
        </w:rPr>
        <w:t xml:space="preserve"> </w:t>
      </w:r>
      <w:r w:rsidRPr="0063633F">
        <w:rPr>
          <w:rFonts w:ascii="Arial" w:hAnsi="Arial" w:cs="Arial"/>
          <w:b/>
          <w:bCs/>
          <w:color w:val="010302"/>
          <w:sz w:val="15"/>
          <w:szCs w:val="15"/>
          <w:lang w:val="pl-PL"/>
        </w:rPr>
        <w:t>pozyskiwanych spoza niej, wykorzystując wyniki prac swoich komitetów. Rada nadzorcza w szczególności opiniuje</w:t>
      </w:r>
      <w:r>
        <w:rPr>
          <w:rFonts w:ascii="Arial" w:hAnsi="Arial" w:cs="Arial"/>
          <w:b/>
          <w:bCs/>
          <w:color w:val="010302"/>
          <w:sz w:val="15"/>
          <w:szCs w:val="15"/>
          <w:lang w:val="pl-PL"/>
        </w:rPr>
        <w:t xml:space="preserve"> </w:t>
      </w:r>
      <w:r w:rsidRPr="0063633F">
        <w:rPr>
          <w:rFonts w:ascii="Arial" w:hAnsi="Arial" w:cs="Arial"/>
          <w:b/>
          <w:bCs/>
          <w:color w:val="010302"/>
          <w:sz w:val="15"/>
          <w:szCs w:val="15"/>
          <w:lang w:val="pl-PL"/>
        </w:rPr>
        <w:t>strategię spółki i weryfikuje pracę zarządu w zakresie osiągania ustalonych celów strategicznych oraz monitoruje</w:t>
      </w:r>
      <w:r>
        <w:rPr>
          <w:rFonts w:ascii="Arial" w:hAnsi="Arial" w:cs="Arial"/>
          <w:b/>
          <w:bCs/>
          <w:color w:val="010302"/>
          <w:sz w:val="15"/>
          <w:szCs w:val="15"/>
          <w:lang w:val="pl-PL"/>
        </w:rPr>
        <w:t xml:space="preserve"> </w:t>
      </w:r>
      <w:r w:rsidRPr="0063633F">
        <w:rPr>
          <w:rFonts w:ascii="Arial" w:hAnsi="Arial" w:cs="Arial"/>
          <w:b/>
          <w:bCs/>
          <w:color w:val="010302"/>
          <w:sz w:val="15"/>
          <w:szCs w:val="15"/>
          <w:lang w:val="pl-PL"/>
        </w:rPr>
        <w:t>wyniki osiągane przez spółkę.</w:t>
      </w:r>
    </w:p>
    <w:p w14:paraId="6E19B70A" w14:textId="77777777" w:rsidR="0063633F" w:rsidRDefault="0063633F" w:rsidP="0063633F">
      <w:pPr>
        <w:spacing w:line="204" w:lineRule="exact"/>
        <w:ind w:right="132"/>
        <w:jc w:val="both"/>
        <w:rPr>
          <w:rFonts w:ascii="Arial" w:hAnsi="Arial" w:cs="Arial"/>
          <w:b/>
          <w:bCs/>
          <w:color w:val="010302"/>
          <w:sz w:val="15"/>
          <w:szCs w:val="15"/>
          <w:lang w:val="pl-PL"/>
        </w:rPr>
      </w:pPr>
    </w:p>
    <w:p w14:paraId="0AB6D69A" w14:textId="77777777" w:rsidR="0063633F" w:rsidRDefault="0063633F" w:rsidP="0063633F">
      <w:pPr>
        <w:spacing w:line="204" w:lineRule="exact"/>
        <w:ind w:right="132"/>
        <w:jc w:val="both"/>
        <w:rPr>
          <w:rFonts w:ascii="Arial" w:hAnsi="Arial" w:cs="Arial"/>
          <w:b/>
          <w:bCs/>
          <w:color w:val="010302"/>
          <w:sz w:val="15"/>
          <w:szCs w:val="15"/>
          <w:lang w:val="pl-PL"/>
        </w:rPr>
      </w:pPr>
    </w:p>
    <w:p w14:paraId="544F67A2" w14:textId="77777777" w:rsidR="0063633F" w:rsidRDefault="0063633F" w:rsidP="0063633F">
      <w:pPr>
        <w:spacing w:line="204" w:lineRule="exact"/>
        <w:ind w:right="132"/>
        <w:jc w:val="both"/>
        <w:rPr>
          <w:rFonts w:ascii="Arial" w:hAnsi="Arial" w:cs="Arial"/>
          <w:b/>
          <w:bCs/>
          <w:color w:val="010302"/>
          <w:sz w:val="15"/>
          <w:szCs w:val="15"/>
          <w:lang w:val="pl-PL"/>
        </w:rPr>
      </w:pPr>
    </w:p>
    <w:p w14:paraId="193D467B"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Spółka powinna posiadać politykę różnorodności wobec zarządu oraz rady nadzorczej, przyjętą odpowiednio przez radę nadzorczą lub walne zgromadzenie. Polityka różnorodności określa cele i kryteria różnorodności m.in. w takich obszarach jak płeć, kierunek wykształcenia, specjalistyczna wiedza, wiek oraz doświadczenie zawodowe, a także wskazuje termin i sposób monitorowania realizacji tych celów. W zakresie zróżnicowania pod względem płci warunkiem zapewnienia różnorodności organów spółki jest udział mniejszości w danym organie na poziomie nie niższym niż 30%. </w:t>
      </w:r>
    </w:p>
    <w:p w14:paraId="5DD913D0"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 nie jest stosowana.</w:t>
      </w:r>
    </w:p>
    <w:p w14:paraId="16ED4C45"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b/>
          <w:bCs/>
          <w:i/>
          <w:iCs/>
          <w:color w:val="010302"/>
          <w:sz w:val="15"/>
          <w:szCs w:val="15"/>
          <w:lang w:val="pl-PL"/>
        </w:rPr>
        <w:t>Komentarz spółki</w:t>
      </w:r>
      <w:r w:rsidRPr="0063633F">
        <w:rPr>
          <w:rFonts w:ascii="Arial" w:hAnsi="Arial" w:cs="Arial"/>
          <w:color w:val="010302"/>
          <w:sz w:val="15"/>
          <w:szCs w:val="15"/>
          <w:lang w:val="pl-PL"/>
        </w:rPr>
        <w:t xml:space="preserve">: </w:t>
      </w:r>
      <w:r w:rsidRPr="0063633F">
        <w:rPr>
          <w:rFonts w:ascii="Arial" w:hAnsi="Arial" w:cs="Arial"/>
          <w:i/>
          <w:iCs/>
          <w:color w:val="010302"/>
          <w:sz w:val="15"/>
          <w:szCs w:val="15"/>
          <w:lang w:val="pl-PL"/>
        </w:rPr>
        <w:t>Spółka nie posiada sformalizowanej polityki różnorodności. Członków rady nadzorczej co do zasady wybierają akcjonariusze i Spółka nie ma podstaw prawnych do narzucania akcjonariuszom kryteriów różnorodności przy dokonywanym wyborze. Rada nadzorcza podejmując decyzje w sprawie wyboru członków zarządu kieruje się w pierwszej kolejności kompetencjami potencjalnych kandydatów oraz potrzebą zapewniania odpowiedniego działania zarządu jako całości. Spółka stosuje w zakresie decyzji personalnych zasady równego traktowania i niedyskryminacji. Mimo braku sformalizowanych zasad wyboru członków organów Spółki, Spółka deklaruje dążenie do korzystania z wiedzy i doświadczenia osób legitymujących się różnymi kompetencjami.</w:t>
      </w:r>
      <w:r w:rsidRPr="0063633F">
        <w:rPr>
          <w:rFonts w:ascii="Arial" w:hAnsi="Arial" w:cs="Arial"/>
          <w:color w:val="010302"/>
          <w:sz w:val="15"/>
          <w:szCs w:val="15"/>
          <w:lang w:val="pl-PL"/>
        </w:rPr>
        <w:t xml:space="preserve"> </w:t>
      </w:r>
    </w:p>
    <w:p w14:paraId="444EE9D2"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p>
    <w:p w14:paraId="06BA913C"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Osoby podejmujące decyzje w sprawie wyboru członków zarządu lub rady nadzorczej spółki powinny zapewnić wszechstronność tych organów poprzez wybór do ich składu osób zapewniających różnorodność, umożliwiając m.in. osiągnięcie docelowego wskaźnika minimalnego udziału mniejszości określonego na poziomie nie niższym niż 30%, zgodnie z celami określonymi w przyjętej polityce różnorodności, o której mowa w zasadzie 2.1. </w:t>
      </w:r>
    </w:p>
    <w:p w14:paraId="5F48CF48"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 nie jest stosowana.</w:t>
      </w:r>
      <w:r w:rsidRPr="0063633F">
        <w:rPr>
          <w:rFonts w:ascii="Arial" w:hAnsi="Arial" w:cs="Arial"/>
          <w:color w:val="010302"/>
          <w:sz w:val="15"/>
          <w:szCs w:val="15"/>
          <w:lang w:val="pl-PL"/>
        </w:rPr>
        <w:t xml:space="preserve"> </w:t>
      </w:r>
    </w:p>
    <w:p w14:paraId="48974B73"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b/>
          <w:bCs/>
          <w:i/>
          <w:iCs/>
          <w:color w:val="010302"/>
          <w:sz w:val="15"/>
          <w:szCs w:val="15"/>
          <w:lang w:val="pl-PL"/>
        </w:rPr>
        <w:t>Komentarz spółki:</w:t>
      </w:r>
      <w:r w:rsidRPr="0063633F">
        <w:rPr>
          <w:rFonts w:ascii="Arial" w:hAnsi="Arial" w:cs="Arial"/>
          <w:color w:val="010302"/>
          <w:sz w:val="15"/>
          <w:szCs w:val="15"/>
          <w:lang w:val="pl-PL"/>
        </w:rPr>
        <w:t xml:space="preserve"> </w:t>
      </w:r>
      <w:r w:rsidRPr="00AE1D5C">
        <w:rPr>
          <w:rFonts w:ascii="Arial" w:hAnsi="Arial" w:cs="Arial"/>
          <w:i/>
          <w:iCs/>
          <w:color w:val="010302"/>
          <w:sz w:val="15"/>
          <w:szCs w:val="15"/>
          <w:lang w:val="pl-PL"/>
        </w:rPr>
        <w:t xml:space="preserve">Członków rady nadzorczej co do zasady wybierają akcjonariusze i Spółka nie ma podstaw prawnych do narzucania </w:t>
      </w:r>
      <w:r w:rsidRPr="00AE1D5C">
        <w:rPr>
          <w:rFonts w:ascii="Arial" w:hAnsi="Arial" w:cs="Arial"/>
          <w:i/>
          <w:iCs/>
          <w:color w:val="010302"/>
          <w:sz w:val="15"/>
          <w:szCs w:val="15"/>
          <w:lang w:val="pl-PL"/>
        </w:rPr>
        <w:lastRenderedPageBreak/>
        <w:t>akcjonariuszom kryteriów różnorodności przy dokonywanym wyborze. Rada nadzorcza podejmująca decyzje w sprawie wyboru członków zarządu kieruje się w pierwszej kolejności kompetencjami potencjalnych kandydatów oraz potrzebą zapewniania odpowiedniego działania zarządu jako całości. Rada nadzorcza stosuje w zakresie decyzji personalnych zasady równego traktowania i niedyskryminacji. Mimo braku sformalizowanych zasad wyboru członków organów Spółki, Spółka deklaruje dążenie do korzystania z wiedzy i doświadczenia osób legitymujących się różnymi kompetencjami.</w:t>
      </w:r>
      <w:r w:rsidRPr="0063633F">
        <w:rPr>
          <w:rFonts w:ascii="Arial" w:hAnsi="Arial" w:cs="Arial"/>
          <w:color w:val="010302"/>
          <w:sz w:val="15"/>
          <w:szCs w:val="15"/>
          <w:lang w:val="pl-PL"/>
        </w:rPr>
        <w:t xml:space="preserve"> </w:t>
      </w:r>
    </w:p>
    <w:p w14:paraId="1D15D01E"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p>
    <w:p w14:paraId="1FA1A119"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Przynajmniej dwóch członków rady nadzorczej spełnia kryteria niezależności wymienione w ustawie z dnia 11 maja 2017 r. o biegłych rewidentach, firmach audytorskich oraz nadzorze publicznym, a także nie ma rzeczywistych i istotnych powiązań z akcjonariuszem posiadającym co najmniej 5% ogólnej liczby głosów w spółce. </w:t>
      </w:r>
    </w:p>
    <w:p w14:paraId="2E7D9C90"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 jest stosowana.</w:t>
      </w:r>
      <w:r w:rsidRPr="0063633F">
        <w:rPr>
          <w:rFonts w:ascii="Arial" w:hAnsi="Arial" w:cs="Arial"/>
          <w:color w:val="010302"/>
          <w:sz w:val="15"/>
          <w:szCs w:val="15"/>
          <w:lang w:val="pl-PL"/>
        </w:rPr>
        <w:t xml:space="preserve"> </w:t>
      </w:r>
    </w:p>
    <w:p w14:paraId="3F6AEE42" w14:textId="77777777" w:rsidR="0063633F" w:rsidRDefault="0063633F" w:rsidP="0063633F">
      <w:pPr>
        <w:spacing w:line="204" w:lineRule="exact"/>
        <w:ind w:right="132"/>
        <w:jc w:val="both"/>
        <w:rPr>
          <w:rFonts w:ascii="Arial" w:hAnsi="Arial" w:cs="Arial"/>
          <w:color w:val="010302"/>
          <w:sz w:val="15"/>
          <w:szCs w:val="15"/>
          <w:lang w:val="pl-PL"/>
        </w:rPr>
      </w:pPr>
    </w:p>
    <w:p w14:paraId="3E071536"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Głosowania rady nadzorczej i zarządu są jawne, chyba że co innego wynika z przepisów prawa. </w:t>
      </w:r>
    </w:p>
    <w:p w14:paraId="241800A1" w14:textId="69380EF0"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w:t>
      </w:r>
      <w:r w:rsidR="00B87E75">
        <w:rPr>
          <w:rFonts w:ascii="Arial" w:hAnsi="Arial" w:cs="Arial"/>
          <w:i/>
          <w:iCs/>
          <w:color w:val="010302"/>
          <w:sz w:val="15"/>
          <w:szCs w:val="15"/>
          <w:u w:val="single"/>
          <w:lang w:val="pl-PL"/>
        </w:rPr>
        <w:t xml:space="preserve"> nie</w:t>
      </w:r>
      <w:r w:rsidRPr="0063633F">
        <w:rPr>
          <w:rFonts w:ascii="Arial" w:hAnsi="Arial" w:cs="Arial"/>
          <w:i/>
          <w:iCs/>
          <w:color w:val="010302"/>
          <w:sz w:val="15"/>
          <w:szCs w:val="15"/>
          <w:u w:val="single"/>
          <w:lang w:val="pl-PL"/>
        </w:rPr>
        <w:t xml:space="preserve"> jest stosowana.</w:t>
      </w:r>
      <w:r w:rsidRPr="0063633F">
        <w:rPr>
          <w:rFonts w:ascii="Arial" w:hAnsi="Arial" w:cs="Arial"/>
          <w:color w:val="010302"/>
          <w:sz w:val="15"/>
          <w:szCs w:val="15"/>
          <w:lang w:val="pl-PL"/>
        </w:rPr>
        <w:t xml:space="preserve"> </w:t>
      </w:r>
    </w:p>
    <w:p w14:paraId="4433969F" w14:textId="30C7D54D" w:rsidR="00991850" w:rsidRPr="00991850" w:rsidRDefault="00991850" w:rsidP="00991850">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b/>
          <w:bCs/>
          <w:i/>
          <w:iCs/>
          <w:color w:val="010302"/>
          <w:sz w:val="15"/>
          <w:szCs w:val="15"/>
          <w:lang w:val="pl-PL"/>
        </w:rPr>
        <w:t>Komentarz spółki:</w:t>
      </w:r>
      <w:r w:rsidRPr="0063633F">
        <w:rPr>
          <w:rFonts w:ascii="Arial" w:hAnsi="Arial" w:cs="Arial"/>
          <w:color w:val="010302"/>
          <w:sz w:val="15"/>
          <w:szCs w:val="15"/>
          <w:lang w:val="pl-PL"/>
        </w:rPr>
        <w:t xml:space="preserve"> </w:t>
      </w:r>
      <w:r w:rsidRPr="00991850">
        <w:rPr>
          <w:rFonts w:ascii="Arial" w:hAnsi="Arial" w:cs="Arial"/>
          <w:i/>
          <w:iCs/>
          <w:color w:val="010302"/>
          <w:sz w:val="15"/>
          <w:szCs w:val="15"/>
          <w:lang w:val="pl-PL"/>
        </w:rPr>
        <w:t>Głosowania zarówno Rady Nadzorczej, jak i Zarządu odbywają się co do zasady w trybie jawnym. Regulaminy Rady Nadzorczej (§ 15) i Zarządu (§ 13) przewidują jednak możliwość lub wymóg przeprowadzenia głosowania w trybie tajnym – w przypadku Rady Nadzorczej w sprawach osobowych, a w przypadku każdego z organów – na wniosek członka danego organu.</w:t>
      </w:r>
      <w:r w:rsidRPr="00991850">
        <w:rPr>
          <w:rFonts w:ascii="Arial" w:hAnsi="Arial" w:cs="Arial"/>
          <w:color w:val="010302"/>
          <w:sz w:val="15"/>
          <w:szCs w:val="15"/>
          <w:lang w:val="pl-PL"/>
        </w:rPr>
        <w:t xml:space="preserve"> </w:t>
      </w:r>
    </w:p>
    <w:p w14:paraId="014E9348"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p>
    <w:p w14:paraId="29B46CAD"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Członkowie rady nadzorczej i zarządu głosujący przeciw uchwale mogą zgłosić do protokołu zdanie odrębne. </w:t>
      </w:r>
    </w:p>
    <w:p w14:paraId="3AAAC94C"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 jest stosowana</w:t>
      </w:r>
      <w:r w:rsidRPr="0063633F">
        <w:rPr>
          <w:rFonts w:ascii="Arial" w:hAnsi="Arial" w:cs="Arial"/>
          <w:color w:val="010302"/>
          <w:sz w:val="15"/>
          <w:szCs w:val="15"/>
          <w:lang w:val="pl-PL"/>
        </w:rPr>
        <w:t>.</w:t>
      </w:r>
    </w:p>
    <w:p w14:paraId="0AED8274" w14:textId="77777777" w:rsidR="0063633F" w:rsidRDefault="0063633F" w:rsidP="0063633F">
      <w:pPr>
        <w:spacing w:line="204" w:lineRule="exact"/>
        <w:ind w:right="132"/>
        <w:jc w:val="both"/>
        <w:rPr>
          <w:rFonts w:ascii="Arial" w:hAnsi="Arial" w:cs="Arial"/>
          <w:color w:val="010302"/>
          <w:sz w:val="15"/>
          <w:szCs w:val="15"/>
          <w:lang w:val="pl-PL"/>
        </w:rPr>
      </w:pPr>
    </w:p>
    <w:p w14:paraId="5DCD528F"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Pełnienie funkcji w zarządzie spółki stanowi główny obszar aktywności zawodowej członka zarządu. Członek zarządu nie powinien podejmować dodatkowej aktywności zawodowej, jeżeli czas poświęcony na taką aktywność uniemożliwia mu rzetelne wykonywanie obowiązków w spółce. </w:t>
      </w:r>
    </w:p>
    <w:p w14:paraId="79E4E1A7"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 jest stosowana</w:t>
      </w:r>
      <w:r w:rsidRPr="0063633F">
        <w:rPr>
          <w:rFonts w:ascii="Arial" w:hAnsi="Arial" w:cs="Arial"/>
          <w:color w:val="010302"/>
          <w:sz w:val="15"/>
          <w:szCs w:val="15"/>
          <w:lang w:val="pl-PL"/>
        </w:rPr>
        <w:t>.</w:t>
      </w:r>
    </w:p>
    <w:p w14:paraId="1EE2C2A3"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p>
    <w:p w14:paraId="2E695A7C"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Pełnienie przez członków zarządu spółki funkcji w organach podmiotów spoza grupy spółki wymaga zgody rady nadzorczej. </w:t>
      </w:r>
    </w:p>
    <w:p w14:paraId="7B7114A7"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 nie jest stosowana</w:t>
      </w:r>
      <w:r w:rsidRPr="0063633F">
        <w:rPr>
          <w:rFonts w:ascii="Arial" w:hAnsi="Arial" w:cs="Arial"/>
          <w:color w:val="010302"/>
          <w:sz w:val="15"/>
          <w:szCs w:val="15"/>
          <w:lang w:val="pl-PL"/>
        </w:rPr>
        <w:t xml:space="preserve">. </w:t>
      </w:r>
    </w:p>
    <w:p w14:paraId="65D7D1CF"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b/>
          <w:bCs/>
          <w:i/>
          <w:iCs/>
          <w:color w:val="010302"/>
          <w:sz w:val="15"/>
          <w:szCs w:val="15"/>
          <w:lang w:val="pl-PL"/>
        </w:rPr>
        <w:t>Komentarz spółki:</w:t>
      </w:r>
      <w:r w:rsidRPr="0063633F">
        <w:rPr>
          <w:rFonts w:ascii="Arial" w:hAnsi="Arial" w:cs="Arial"/>
          <w:color w:val="010302"/>
          <w:sz w:val="15"/>
          <w:szCs w:val="15"/>
          <w:lang w:val="pl-PL"/>
        </w:rPr>
        <w:t xml:space="preserve"> </w:t>
      </w:r>
      <w:r w:rsidRPr="00AE1D5C">
        <w:rPr>
          <w:rFonts w:ascii="Arial" w:hAnsi="Arial" w:cs="Arial"/>
          <w:i/>
          <w:iCs/>
          <w:color w:val="010302"/>
          <w:sz w:val="15"/>
          <w:szCs w:val="15"/>
          <w:lang w:val="pl-PL"/>
        </w:rPr>
        <w:t>Statut Spółki ani Regulamin Zarządu nie przewidują wymogu uzyskania zgody przez członka zarządu na pełnienie funkcji w podmiotach spoza grupy. Zgodnie ze stosowanymi przez Spółkę przepisami Kodeksu Spółek Handlowych pełnienie funkcji w organie podmiotu konkurencyjnego wobec Spółki wymaga zgody rady nadzorczej.</w:t>
      </w:r>
      <w:r w:rsidRPr="0063633F">
        <w:rPr>
          <w:rFonts w:ascii="Arial" w:hAnsi="Arial" w:cs="Arial"/>
          <w:color w:val="010302"/>
          <w:sz w:val="15"/>
          <w:szCs w:val="15"/>
          <w:lang w:val="pl-PL"/>
        </w:rPr>
        <w:t xml:space="preserve"> </w:t>
      </w:r>
    </w:p>
    <w:p w14:paraId="3981DA2A"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p>
    <w:p w14:paraId="5576C2F3"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Członkowie rady nadzorczej powinni być w stanie poświęcić niezbędną ilość czasu na wykonywanie swoich obowiązków. </w:t>
      </w:r>
    </w:p>
    <w:p w14:paraId="5067E381" w14:textId="77777777"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i/>
          <w:iCs/>
          <w:color w:val="010302"/>
          <w:sz w:val="15"/>
          <w:szCs w:val="15"/>
          <w:u w:val="single"/>
          <w:lang w:val="pl-PL"/>
        </w:rPr>
        <w:t>Zasada jest stosowana</w:t>
      </w:r>
      <w:r w:rsidRPr="0063633F">
        <w:rPr>
          <w:rFonts w:ascii="Arial" w:hAnsi="Arial" w:cs="Arial"/>
          <w:color w:val="010302"/>
          <w:sz w:val="15"/>
          <w:szCs w:val="15"/>
          <w:lang w:val="pl-PL"/>
        </w:rPr>
        <w:t>.</w:t>
      </w:r>
    </w:p>
    <w:p w14:paraId="29F31EEE" w14:textId="4821B6A0" w:rsidR="0063633F" w:rsidRDefault="0063633F" w:rsidP="0063633F">
      <w:pPr>
        <w:pStyle w:val="Akapitzlist"/>
        <w:spacing w:line="204" w:lineRule="exact"/>
        <w:ind w:left="792"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 </w:t>
      </w:r>
    </w:p>
    <w:p w14:paraId="6C480DE8" w14:textId="77777777" w:rsidR="0063633F" w:rsidRDefault="0063633F" w:rsidP="0063633F">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Przewodniczący rady nadzorczej nie powinien łączyć swojej funkcji z kierowaniem pracami komitetu audytu działającego w ramach rady. </w:t>
      </w:r>
      <w:r w:rsidRPr="0063633F">
        <w:rPr>
          <w:rFonts w:ascii="Arial" w:hAnsi="Arial" w:cs="Arial"/>
          <w:i/>
          <w:iCs/>
          <w:color w:val="010302"/>
          <w:sz w:val="15"/>
          <w:szCs w:val="15"/>
          <w:u w:val="single"/>
          <w:lang w:val="pl-PL"/>
        </w:rPr>
        <w:t>Zasada jest stosowana.</w:t>
      </w:r>
      <w:r w:rsidRPr="0063633F">
        <w:rPr>
          <w:rFonts w:ascii="Arial" w:hAnsi="Arial" w:cs="Arial"/>
          <w:color w:val="010302"/>
          <w:sz w:val="15"/>
          <w:szCs w:val="15"/>
          <w:lang w:val="pl-PL"/>
        </w:rPr>
        <w:t xml:space="preserve"> </w:t>
      </w:r>
    </w:p>
    <w:p w14:paraId="3999DF3D" w14:textId="77777777" w:rsidR="0063633F" w:rsidRDefault="0063633F" w:rsidP="00AE1D5C">
      <w:pPr>
        <w:pStyle w:val="Akapitzlist"/>
        <w:spacing w:line="204" w:lineRule="exact"/>
        <w:ind w:left="792" w:right="132"/>
        <w:jc w:val="both"/>
        <w:rPr>
          <w:rFonts w:ascii="Arial" w:hAnsi="Arial" w:cs="Arial"/>
          <w:color w:val="010302"/>
          <w:sz w:val="15"/>
          <w:szCs w:val="15"/>
          <w:lang w:val="pl-PL"/>
        </w:rPr>
      </w:pPr>
    </w:p>
    <w:p w14:paraId="2C67842F" w14:textId="77777777" w:rsidR="00AE1D5C" w:rsidRDefault="0063633F" w:rsidP="00AE1D5C">
      <w:pPr>
        <w:pStyle w:val="Akapitzlist"/>
        <w:numPr>
          <w:ilvl w:val="1"/>
          <w:numId w:val="1"/>
        </w:numPr>
        <w:spacing w:line="204" w:lineRule="exact"/>
        <w:ind w:right="132"/>
        <w:jc w:val="both"/>
        <w:rPr>
          <w:rFonts w:ascii="Arial" w:hAnsi="Arial" w:cs="Arial"/>
          <w:color w:val="010302"/>
          <w:sz w:val="15"/>
          <w:szCs w:val="15"/>
          <w:lang w:val="pl-PL"/>
        </w:rPr>
      </w:pPr>
      <w:r w:rsidRPr="0063633F">
        <w:rPr>
          <w:rFonts w:ascii="Arial" w:hAnsi="Arial" w:cs="Arial"/>
          <w:color w:val="010302"/>
          <w:sz w:val="15"/>
          <w:szCs w:val="15"/>
          <w:lang w:val="pl-PL"/>
        </w:rPr>
        <w:t xml:space="preserve">Spółka, adekwatnie do jej wielkości i sytuacji finansowej, deleguje środki administracyjne i finansowe konieczne do zapewnienia sprawnego funkcjonowania rady nadzorczej. </w:t>
      </w:r>
    </w:p>
    <w:p w14:paraId="56220CC0" w14:textId="77777777" w:rsidR="0063633F" w:rsidRDefault="0063633F" w:rsidP="00AE1D5C">
      <w:pPr>
        <w:spacing w:line="204" w:lineRule="exact"/>
        <w:ind w:left="360" w:right="132" w:firstLine="432"/>
        <w:jc w:val="both"/>
        <w:rPr>
          <w:rFonts w:ascii="Arial" w:hAnsi="Arial" w:cs="Arial"/>
          <w:i/>
          <w:iCs/>
          <w:color w:val="010302"/>
          <w:sz w:val="15"/>
          <w:szCs w:val="15"/>
          <w:u w:val="single"/>
          <w:lang w:val="pl-PL"/>
        </w:rPr>
      </w:pPr>
      <w:r w:rsidRPr="00AE1D5C">
        <w:rPr>
          <w:rFonts w:ascii="Arial" w:hAnsi="Arial" w:cs="Arial"/>
          <w:i/>
          <w:iCs/>
          <w:color w:val="010302"/>
          <w:sz w:val="15"/>
          <w:szCs w:val="15"/>
          <w:u w:val="single"/>
          <w:lang w:val="pl-PL"/>
        </w:rPr>
        <w:t>Zasada jest stosowana.</w:t>
      </w:r>
    </w:p>
    <w:p w14:paraId="72D9C3ED" w14:textId="77777777" w:rsidR="00AE1D5C" w:rsidRDefault="00AE1D5C" w:rsidP="00AE1D5C">
      <w:pPr>
        <w:spacing w:line="204" w:lineRule="exact"/>
        <w:ind w:right="132"/>
        <w:jc w:val="both"/>
        <w:rPr>
          <w:rFonts w:ascii="Arial" w:hAnsi="Arial" w:cs="Arial"/>
          <w:i/>
          <w:iCs/>
          <w:color w:val="010302"/>
          <w:sz w:val="15"/>
          <w:szCs w:val="15"/>
          <w:u w:val="single"/>
          <w:lang w:val="pl-PL"/>
        </w:rPr>
      </w:pPr>
    </w:p>
    <w:p w14:paraId="15018D21"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Poza czynnościami wynikającymi z przepisów prawa raz w roku rada nadzorcza sporządza i przedstawia zwyczajnemu walnemu zgromadzeniu do zatwierdzenia roczne sprawozdanie. Sprawozdanie, o którym mowa powyżej, zawiera co najmniej:</w:t>
      </w:r>
    </w:p>
    <w:p w14:paraId="2052516A" w14:textId="77777777" w:rsidR="00AE1D5C" w:rsidRDefault="00AE1D5C" w:rsidP="00AE1D5C">
      <w:pPr>
        <w:spacing w:line="204" w:lineRule="exact"/>
        <w:ind w:right="132"/>
        <w:jc w:val="both"/>
        <w:rPr>
          <w:rFonts w:ascii="Arial" w:hAnsi="Arial" w:cs="Arial"/>
          <w:color w:val="010302"/>
          <w:sz w:val="15"/>
          <w:szCs w:val="15"/>
          <w:lang w:val="pl-PL"/>
        </w:rPr>
      </w:pPr>
    </w:p>
    <w:p w14:paraId="1E4B367B" w14:textId="77777777" w:rsidR="00AE1D5C" w:rsidRDefault="00AE1D5C" w:rsidP="00AE1D5C">
      <w:pPr>
        <w:pStyle w:val="Akapitzlist"/>
        <w:numPr>
          <w:ilvl w:val="2"/>
          <w:numId w:val="1"/>
        </w:numPr>
        <w:spacing w:before="120" w:line="204" w:lineRule="exact"/>
        <w:ind w:left="1225" w:right="130" w:hanging="505"/>
        <w:jc w:val="both"/>
        <w:rPr>
          <w:rFonts w:ascii="Arial" w:hAnsi="Arial" w:cs="Arial"/>
          <w:color w:val="010302"/>
          <w:sz w:val="15"/>
          <w:szCs w:val="15"/>
          <w:lang w:val="pl-PL"/>
        </w:rPr>
      </w:pPr>
      <w:r w:rsidRPr="00AE1D5C">
        <w:rPr>
          <w:rFonts w:ascii="Arial" w:hAnsi="Arial" w:cs="Arial"/>
          <w:color w:val="010302"/>
          <w:sz w:val="15"/>
          <w:szCs w:val="15"/>
          <w:lang w:val="pl-PL"/>
        </w:rPr>
        <w:t xml:space="preserve">informacje na temat składu rady i jej komitetów ze wskazaniem, którzy z członków rady spełniają kryteria niezależności określone w ustawie z dnia 11 maja 2017 r. o biegłych rewidentach, firmach audytorskich oraz nadzorze publicznym, a także którzy spośród nich nie mają rzeczywistych i istotnych powiązań z akcjonariuszem posiadającym co najmniej 5% ogólnej liczby głosów w spółce, jak również informacje na temat składu rady nadzorczej w kontekście jej różnorodności; </w:t>
      </w:r>
    </w:p>
    <w:p w14:paraId="3064DF08" w14:textId="77777777"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jest stosowana</w:t>
      </w:r>
      <w:r w:rsidRPr="00AE1D5C">
        <w:rPr>
          <w:rFonts w:ascii="Arial" w:hAnsi="Arial" w:cs="Arial"/>
          <w:color w:val="010302"/>
          <w:sz w:val="15"/>
          <w:szCs w:val="15"/>
          <w:lang w:val="pl-PL"/>
        </w:rPr>
        <w:t>.</w:t>
      </w:r>
    </w:p>
    <w:p w14:paraId="6E815389" w14:textId="4675CDCC"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color w:val="010302"/>
          <w:sz w:val="15"/>
          <w:szCs w:val="15"/>
          <w:lang w:val="pl-PL"/>
        </w:rPr>
        <w:t xml:space="preserve"> </w:t>
      </w:r>
    </w:p>
    <w:p w14:paraId="5AA6094E" w14:textId="77777777" w:rsidR="00AE1D5C" w:rsidRDefault="00AE1D5C" w:rsidP="00AE1D5C">
      <w:pPr>
        <w:pStyle w:val="Akapitzlist"/>
        <w:numPr>
          <w:ilvl w:val="2"/>
          <w:numId w:val="1"/>
        </w:numPr>
        <w:spacing w:before="120" w:line="204" w:lineRule="exact"/>
        <w:ind w:left="1225" w:right="130" w:hanging="505"/>
        <w:jc w:val="both"/>
        <w:rPr>
          <w:rFonts w:ascii="Arial" w:hAnsi="Arial" w:cs="Arial"/>
          <w:color w:val="010302"/>
          <w:sz w:val="15"/>
          <w:szCs w:val="15"/>
          <w:lang w:val="pl-PL"/>
        </w:rPr>
      </w:pPr>
      <w:r w:rsidRPr="00AE1D5C">
        <w:rPr>
          <w:rFonts w:ascii="Arial" w:hAnsi="Arial" w:cs="Arial"/>
          <w:color w:val="010302"/>
          <w:sz w:val="15"/>
          <w:szCs w:val="15"/>
          <w:lang w:val="pl-PL"/>
        </w:rPr>
        <w:t xml:space="preserve">podsumowanie działalności rady i jej komitetów; </w:t>
      </w:r>
    </w:p>
    <w:p w14:paraId="0F0E87F0" w14:textId="77777777"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jest stosowana</w:t>
      </w:r>
      <w:r w:rsidRPr="00AE1D5C">
        <w:rPr>
          <w:rFonts w:ascii="Arial" w:hAnsi="Arial" w:cs="Arial"/>
          <w:color w:val="010302"/>
          <w:sz w:val="15"/>
          <w:szCs w:val="15"/>
          <w:lang w:val="pl-PL"/>
        </w:rPr>
        <w:t>.</w:t>
      </w:r>
    </w:p>
    <w:p w14:paraId="643FCA87" w14:textId="2EBFCC54"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color w:val="010302"/>
          <w:sz w:val="15"/>
          <w:szCs w:val="15"/>
          <w:lang w:val="pl-PL"/>
        </w:rPr>
        <w:t xml:space="preserve"> </w:t>
      </w:r>
    </w:p>
    <w:p w14:paraId="7A8A87C5" w14:textId="77777777" w:rsidR="00AE1D5C" w:rsidRDefault="00AE1D5C" w:rsidP="00AE1D5C">
      <w:pPr>
        <w:pStyle w:val="Akapitzlist"/>
        <w:numPr>
          <w:ilvl w:val="2"/>
          <w:numId w:val="1"/>
        </w:numPr>
        <w:spacing w:before="120" w:line="204" w:lineRule="exact"/>
        <w:ind w:left="1225" w:right="130" w:hanging="505"/>
        <w:jc w:val="both"/>
        <w:rPr>
          <w:rFonts w:ascii="Arial" w:hAnsi="Arial" w:cs="Arial"/>
          <w:color w:val="010302"/>
          <w:sz w:val="15"/>
          <w:szCs w:val="15"/>
          <w:lang w:val="pl-PL"/>
        </w:rPr>
      </w:pPr>
      <w:r w:rsidRPr="00AE1D5C">
        <w:rPr>
          <w:rFonts w:ascii="Arial" w:hAnsi="Arial" w:cs="Arial"/>
          <w:color w:val="010302"/>
          <w:sz w:val="15"/>
          <w:szCs w:val="15"/>
          <w:lang w:val="pl-PL"/>
        </w:rPr>
        <w:t xml:space="preserve">ocenę sytuacji spółki w ujęciu skonsolidowanym, z uwzględnieniem oceny systemów kontroli wewnętrznej, zarządzania ryzykiem, </w:t>
      </w:r>
      <w:proofErr w:type="spellStart"/>
      <w:r w:rsidRPr="00AE1D5C">
        <w:rPr>
          <w:rFonts w:ascii="Arial" w:hAnsi="Arial" w:cs="Arial"/>
          <w:color w:val="010302"/>
          <w:sz w:val="15"/>
          <w:szCs w:val="15"/>
          <w:lang w:val="pl-PL"/>
        </w:rPr>
        <w:t>compliance</w:t>
      </w:r>
      <w:proofErr w:type="spellEnd"/>
      <w:r w:rsidRPr="00AE1D5C">
        <w:rPr>
          <w:rFonts w:ascii="Arial" w:hAnsi="Arial" w:cs="Arial"/>
          <w:color w:val="010302"/>
          <w:sz w:val="15"/>
          <w:szCs w:val="15"/>
          <w:lang w:val="pl-PL"/>
        </w:rPr>
        <w:t xml:space="preserve"> oraz funkcji audytu wewnętrznego, wraz z informacją na temat działań, jakie rada nadzorcza podejmowała w celu dokonania tej oceny; ocena ta obejmuje wszystkie istotne mechanizmy kontrolne, w tym zwłaszcza dotyczące raportowania i działalności operacyjnej; </w:t>
      </w:r>
    </w:p>
    <w:p w14:paraId="7F7BDF4B" w14:textId="77777777"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jest stosowana</w:t>
      </w:r>
      <w:r w:rsidRPr="00AE1D5C">
        <w:rPr>
          <w:rFonts w:ascii="Arial" w:hAnsi="Arial" w:cs="Arial"/>
          <w:color w:val="010302"/>
          <w:sz w:val="15"/>
          <w:szCs w:val="15"/>
          <w:lang w:val="pl-PL"/>
        </w:rPr>
        <w:t>.</w:t>
      </w:r>
    </w:p>
    <w:p w14:paraId="5F32DD9F" w14:textId="2F87956A"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color w:val="010302"/>
          <w:sz w:val="15"/>
          <w:szCs w:val="15"/>
          <w:lang w:val="pl-PL"/>
        </w:rPr>
        <w:t xml:space="preserve"> </w:t>
      </w:r>
    </w:p>
    <w:p w14:paraId="760DCDE8" w14:textId="77777777" w:rsidR="00AE1D5C" w:rsidRDefault="00AE1D5C" w:rsidP="00AE1D5C">
      <w:pPr>
        <w:pStyle w:val="Akapitzlist"/>
        <w:numPr>
          <w:ilvl w:val="2"/>
          <w:numId w:val="1"/>
        </w:numPr>
        <w:spacing w:before="120" w:line="204" w:lineRule="exact"/>
        <w:ind w:left="1225" w:right="130" w:hanging="505"/>
        <w:jc w:val="both"/>
        <w:rPr>
          <w:rFonts w:ascii="Arial" w:hAnsi="Arial" w:cs="Arial"/>
          <w:color w:val="010302"/>
          <w:sz w:val="15"/>
          <w:szCs w:val="15"/>
          <w:lang w:val="pl-PL"/>
        </w:rPr>
      </w:pPr>
      <w:r w:rsidRPr="00AE1D5C">
        <w:rPr>
          <w:rFonts w:ascii="Arial" w:hAnsi="Arial" w:cs="Arial"/>
          <w:color w:val="010302"/>
          <w:sz w:val="15"/>
          <w:szCs w:val="15"/>
          <w:lang w:val="pl-PL"/>
        </w:rPr>
        <w:t xml:space="preserve">ocenę stosowania przez spółkę zasad ładu korporacyjnego oraz sposobu wypełniania obowiązków informacyjnych dotyczących ich stosowania określonych w Regulaminie Giełdy i przepisach dotyczących informacji bieżących i okresowych przekazywanych przez emitentów papierów wartościowych, wraz z informacją na temat działań, jakie rada nadzorcza podejmowała w celu dokonania tej oceny; </w:t>
      </w:r>
    </w:p>
    <w:p w14:paraId="6678B31A" w14:textId="77777777"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jest stosowana</w:t>
      </w:r>
      <w:r w:rsidRPr="00AE1D5C">
        <w:rPr>
          <w:rFonts w:ascii="Arial" w:hAnsi="Arial" w:cs="Arial"/>
          <w:color w:val="010302"/>
          <w:sz w:val="15"/>
          <w:szCs w:val="15"/>
          <w:lang w:val="pl-PL"/>
        </w:rPr>
        <w:t>.</w:t>
      </w:r>
    </w:p>
    <w:p w14:paraId="0F03181E" w14:textId="0AA13B9D"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color w:val="010302"/>
          <w:sz w:val="15"/>
          <w:szCs w:val="15"/>
          <w:lang w:val="pl-PL"/>
        </w:rPr>
        <w:t xml:space="preserve"> </w:t>
      </w:r>
    </w:p>
    <w:p w14:paraId="0AA94DBD" w14:textId="77777777" w:rsidR="00AE1D5C" w:rsidRDefault="00AE1D5C" w:rsidP="00AE1D5C">
      <w:pPr>
        <w:pStyle w:val="Akapitzlist"/>
        <w:numPr>
          <w:ilvl w:val="2"/>
          <w:numId w:val="1"/>
        </w:numPr>
        <w:spacing w:before="120" w:line="204" w:lineRule="exact"/>
        <w:ind w:left="1225" w:right="130" w:hanging="505"/>
        <w:jc w:val="both"/>
        <w:rPr>
          <w:rFonts w:ascii="Arial" w:hAnsi="Arial" w:cs="Arial"/>
          <w:color w:val="010302"/>
          <w:sz w:val="15"/>
          <w:szCs w:val="15"/>
          <w:lang w:val="pl-PL"/>
        </w:rPr>
      </w:pPr>
      <w:r w:rsidRPr="00AE1D5C">
        <w:rPr>
          <w:rFonts w:ascii="Arial" w:hAnsi="Arial" w:cs="Arial"/>
          <w:color w:val="010302"/>
          <w:sz w:val="15"/>
          <w:szCs w:val="15"/>
          <w:lang w:val="pl-PL"/>
        </w:rPr>
        <w:t xml:space="preserve">ocenę zasadności wydatków, o których mowa w zasadzie 1.5; </w:t>
      </w:r>
    </w:p>
    <w:p w14:paraId="5F5616E0" w14:textId="77777777"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nie jest stosowana</w:t>
      </w:r>
      <w:r w:rsidRPr="00AE1D5C">
        <w:rPr>
          <w:rFonts w:ascii="Arial" w:hAnsi="Arial" w:cs="Arial"/>
          <w:color w:val="010302"/>
          <w:sz w:val="15"/>
          <w:szCs w:val="15"/>
          <w:lang w:val="pl-PL"/>
        </w:rPr>
        <w:t>.</w:t>
      </w:r>
    </w:p>
    <w:p w14:paraId="5C2397C7" w14:textId="04B88B4F"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b/>
          <w:bCs/>
          <w:i/>
          <w:iCs/>
          <w:color w:val="010302"/>
          <w:sz w:val="15"/>
          <w:szCs w:val="15"/>
          <w:lang w:val="pl-PL"/>
        </w:rPr>
        <w:t>Komentarz spółki:</w:t>
      </w:r>
      <w:r w:rsidRPr="00AE1D5C">
        <w:rPr>
          <w:rFonts w:ascii="Arial" w:hAnsi="Arial" w:cs="Arial"/>
          <w:color w:val="010302"/>
          <w:sz w:val="15"/>
          <w:szCs w:val="15"/>
          <w:lang w:val="pl-PL"/>
        </w:rPr>
        <w:t xml:space="preserve"> </w:t>
      </w:r>
      <w:r w:rsidRPr="00AE1D5C">
        <w:rPr>
          <w:rFonts w:ascii="Arial" w:hAnsi="Arial" w:cs="Arial"/>
          <w:i/>
          <w:iCs/>
          <w:color w:val="010302"/>
          <w:sz w:val="15"/>
          <w:szCs w:val="15"/>
          <w:lang w:val="pl-PL"/>
        </w:rPr>
        <w:t>W związku z nieujawnianiem zestawień wydatków tego typu (patrz: wyjaśnienie do Zasady 1.5.), Zasada ta nie jest obecnie stosowana.</w:t>
      </w:r>
      <w:r w:rsidRPr="00AE1D5C">
        <w:rPr>
          <w:rFonts w:ascii="Arial" w:hAnsi="Arial" w:cs="Arial"/>
          <w:color w:val="010302"/>
          <w:sz w:val="15"/>
          <w:szCs w:val="15"/>
          <w:lang w:val="pl-PL"/>
        </w:rPr>
        <w:t xml:space="preserve"> </w:t>
      </w:r>
    </w:p>
    <w:p w14:paraId="427BF84F" w14:textId="77777777" w:rsidR="00AE1D5C" w:rsidRDefault="00AE1D5C" w:rsidP="00AE1D5C">
      <w:pPr>
        <w:pStyle w:val="Akapitzlist"/>
        <w:spacing w:before="120" w:line="204" w:lineRule="exact"/>
        <w:ind w:left="1225" w:right="130"/>
        <w:jc w:val="both"/>
        <w:rPr>
          <w:rFonts w:ascii="Arial" w:hAnsi="Arial" w:cs="Arial"/>
          <w:color w:val="010302"/>
          <w:sz w:val="15"/>
          <w:szCs w:val="15"/>
          <w:lang w:val="pl-PL"/>
        </w:rPr>
      </w:pPr>
    </w:p>
    <w:p w14:paraId="5F761E7E" w14:textId="77777777" w:rsidR="00AE1D5C" w:rsidRDefault="00AE1D5C" w:rsidP="00AE1D5C">
      <w:pPr>
        <w:pStyle w:val="Akapitzlist"/>
        <w:numPr>
          <w:ilvl w:val="2"/>
          <w:numId w:val="1"/>
        </w:numPr>
        <w:spacing w:before="120" w:line="204" w:lineRule="exact"/>
        <w:ind w:left="1225" w:right="130" w:hanging="505"/>
        <w:jc w:val="both"/>
        <w:rPr>
          <w:rFonts w:ascii="Arial" w:hAnsi="Arial" w:cs="Arial"/>
          <w:color w:val="010302"/>
          <w:sz w:val="15"/>
          <w:szCs w:val="15"/>
          <w:lang w:val="pl-PL"/>
        </w:rPr>
      </w:pPr>
      <w:r w:rsidRPr="00AE1D5C">
        <w:rPr>
          <w:rFonts w:ascii="Arial" w:hAnsi="Arial" w:cs="Arial"/>
          <w:color w:val="010302"/>
          <w:sz w:val="15"/>
          <w:szCs w:val="15"/>
          <w:lang w:val="pl-PL"/>
        </w:rPr>
        <w:t xml:space="preserve">informację na temat stopnia realizacji polityki różnorodności w odniesieniu do zarządu i rady nadzorczej, w tym realizacji celów, o których mowa w zasadzie 2.1. </w:t>
      </w:r>
    </w:p>
    <w:p w14:paraId="36C684E5" w14:textId="77777777" w:rsidR="00AE1D5C" w:rsidRDefault="00AE1D5C" w:rsidP="00AE1D5C">
      <w:pPr>
        <w:pStyle w:val="Akapitzlist"/>
        <w:spacing w:before="120" w:line="204" w:lineRule="exact"/>
        <w:ind w:left="1225" w:right="130"/>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nie jest stosowana</w:t>
      </w:r>
      <w:r w:rsidRPr="00AE1D5C">
        <w:rPr>
          <w:rFonts w:ascii="Arial" w:hAnsi="Arial" w:cs="Arial"/>
          <w:color w:val="010302"/>
          <w:sz w:val="15"/>
          <w:szCs w:val="15"/>
          <w:lang w:val="pl-PL"/>
        </w:rPr>
        <w:t>.</w:t>
      </w:r>
    </w:p>
    <w:p w14:paraId="273E41D4" w14:textId="0906C608" w:rsidR="00AE1D5C" w:rsidRPr="00AE1D5C" w:rsidRDefault="00AE1D5C" w:rsidP="00AE1D5C">
      <w:pPr>
        <w:pStyle w:val="Akapitzlist"/>
        <w:spacing w:before="120" w:line="204" w:lineRule="exact"/>
        <w:ind w:left="1225" w:right="130"/>
        <w:jc w:val="both"/>
        <w:rPr>
          <w:rFonts w:ascii="Arial" w:hAnsi="Arial" w:cs="Arial"/>
          <w:i/>
          <w:iCs/>
          <w:color w:val="010302"/>
          <w:sz w:val="15"/>
          <w:szCs w:val="15"/>
          <w:lang w:val="pl-PL"/>
        </w:rPr>
      </w:pPr>
      <w:r w:rsidRPr="00AE1D5C">
        <w:rPr>
          <w:rFonts w:ascii="Arial" w:hAnsi="Arial" w:cs="Arial"/>
          <w:b/>
          <w:bCs/>
          <w:i/>
          <w:iCs/>
          <w:color w:val="010302"/>
          <w:sz w:val="15"/>
          <w:szCs w:val="15"/>
          <w:lang w:val="pl-PL"/>
        </w:rPr>
        <w:t>Komentarz spółki</w:t>
      </w:r>
      <w:r w:rsidRPr="00AE1D5C">
        <w:rPr>
          <w:rFonts w:ascii="Arial" w:hAnsi="Arial" w:cs="Arial"/>
          <w:color w:val="010302"/>
          <w:sz w:val="15"/>
          <w:szCs w:val="15"/>
          <w:lang w:val="pl-PL"/>
        </w:rPr>
        <w:t xml:space="preserve">: </w:t>
      </w:r>
      <w:r w:rsidRPr="00AE1D5C">
        <w:rPr>
          <w:rFonts w:ascii="Arial" w:hAnsi="Arial" w:cs="Arial"/>
          <w:i/>
          <w:iCs/>
          <w:color w:val="010302"/>
          <w:sz w:val="15"/>
          <w:szCs w:val="15"/>
          <w:lang w:val="pl-PL"/>
        </w:rPr>
        <w:t xml:space="preserve">W związku z brakiem przyjętego przez Spółkę stosowania Zasady 2.1., a także brakiem „Polityki różnorodności” (patrz wyjaśnienie do Zasady 2.1.), Zasada ta nie jest obecnie stosowana </w:t>
      </w:r>
    </w:p>
    <w:p w14:paraId="5867EFF6" w14:textId="08652C77" w:rsidR="00AE1D5C" w:rsidRPr="00AE1D5C" w:rsidRDefault="00AE1D5C" w:rsidP="00AE1D5C">
      <w:pPr>
        <w:spacing w:line="204" w:lineRule="exact"/>
        <w:ind w:left="360" w:right="132" w:firstLine="432"/>
        <w:jc w:val="both"/>
        <w:rPr>
          <w:rFonts w:ascii="Arial" w:hAnsi="Arial" w:cs="Arial"/>
          <w:i/>
          <w:iCs/>
          <w:color w:val="010302"/>
          <w:sz w:val="15"/>
          <w:szCs w:val="15"/>
          <w:u w:val="single"/>
          <w:lang w:val="pl-PL"/>
        </w:rPr>
        <w:sectPr w:rsidR="00AE1D5C" w:rsidRPr="00AE1D5C" w:rsidSect="00764DC6">
          <w:pgSz w:w="11905" w:h="16837"/>
          <w:pgMar w:top="343" w:right="990" w:bottom="275" w:left="709" w:header="708" w:footer="708" w:gutter="0"/>
          <w:cols w:space="720"/>
          <w:docGrid w:linePitch="360"/>
        </w:sectPr>
      </w:pPr>
    </w:p>
    <w:p w14:paraId="48B16476" w14:textId="7A78BE9E" w:rsidR="00764DC6" w:rsidRDefault="00AE1D5C" w:rsidP="00AE1D5C">
      <w:pPr>
        <w:pStyle w:val="Akapitzlist"/>
        <w:numPr>
          <w:ilvl w:val="0"/>
          <w:numId w:val="1"/>
        </w:numPr>
        <w:ind w:left="0" w:firstLine="0"/>
        <w:rPr>
          <w:rFonts w:ascii="Arial" w:hAnsi="Arial" w:cs="Arial"/>
          <w:b/>
          <w:bCs/>
          <w:lang w:val="pl-PL"/>
        </w:rPr>
      </w:pPr>
      <w:r w:rsidRPr="00AE1D5C">
        <w:rPr>
          <w:rFonts w:ascii="Arial" w:hAnsi="Arial" w:cs="Arial"/>
          <w:b/>
          <w:bCs/>
          <w:lang w:val="pl-PL"/>
        </w:rPr>
        <w:lastRenderedPageBreak/>
        <w:t>SYSTEMY I FUNKCJE WEWNĘTRZNE</w:t>
      </w:r>
    </w:p>
    <w:p w14:paraId="5CDD6CD8" w14:textId="77777777" w:rsidR="00AE1D5C" w:rsidRDefault="00AE1D5C" w:rsidP="00AE1D5C">
      <w:pPr>
        <w:rPr>
          <w:rFonts w:ascii="Arial" w:hAnsi="Arial" w:cs="Arial"/>
          <w:b/>
          <w:bCs/>
          <w:lang w:val="pl-PL"/>
        </w:rPr>
      </w:pPr>
    </w:p>
    <w:p w14:paraId="298DCC65" w14:textId="77777777" w:rsidR="00AE1D5C" w:rsidRDefault="00AE1D5C" w:rsidP="00AE1D5C">
      <w:pPr>
        <w:rPr>
          <w:rFonts w:ascii="Arial" w:hAnsi="Arial" w:cs="Arial"/>
          <w:b/>
          <w:bCs/>
          <w:lang w:val="pl-PL"/>
        </w:rPr>
      </w:pPr>
    </w:p>
    <w:p w14:paraId="2944477D" w14:textId="77777777" w:rsidR="00AE1D5C" w:rsidRDefault="00AE1D5C" w:rsidP="00AE1D5C">
      <w:pPr>
        <w:rPr>
          <w:rFonts w:ascii="Arial" w:hAnsi="Arial" w:cs="Arial"/>
          <w:b/>
          <w:bCs/>
          <w:color w:val="010302"/>
          <w:sz w:val="15"/>
          <w:szCs w:val="15"/>
          <w:lang w:val="pl-PL"/>
        </w:rPr>
      </w:pPr>
      <w:r w:rsidRPr="00AE1D5C">
        <w:rPr>
          <w:rFonts w:ascii="Arial" w:hAnsi="Arial" w:cs="Arial"/>
          <w:b/>
          <w:bCs/>
          <w:color w:val="010302"/>
          <w:sz w:val="15"/>
          <w:szCs w:val="15"/>
          <w:lang w:val="pl-PL"/>
        </w:rPr>
        <w:t>Sprawnie działające systemy i funkcje wewnętrzne są nieodzownym narzędziem sprawowania nadzoru nad spółką.</w:t>
      </w:r>
    </w:p>
    <w:p w14:paraId="0193C7FC" w14:textId="77777777" w:rsidR="001A3A7A" w:rsidRDefault="001A3A7A" w:rsidP="00AE1D5C">
      <w:pPr>
        <w:rPr>
          <w:rFonts w:ascii="Arial" w:hAnsi="Arial" w:cs="Arial"/>
          <w:b/>
          <w:bCs/>
          <w:color w:val="010302"/>
          <w:sz w:val="15"/>
          <w:szCs w:val="15"/>
          <w:lang w:val="pl-PL"/>
        </w:rPr>
      </w:pPr>
    </w:p>
    <w:p w14:paraId="04EA1874" w14:textId="77777777" w:rsidR="00AE1D5C" w:rsidRPr="00AE1D5C" w:rsidRDefault="00AE1D5C" w:rsidP="00AE1D5C">
      <w:pPr>
        <w:rPr>
          <w:rFonts w:ascii="Arial" w:hAnsi="Arial" w:cs="Arial"/>
          <w:b/>
          <w:bCs/>
          <w:color w:val="010302"/>
          <w:sz w:val="15"/>
          <w:szCs w:val="15"/>
          <w:lang w:val="pl-PL"/>
        </w:rPr>
      </w:pPr>
    </w:p>
    <w:p w14:paraId="1BEA9604" w14:textId="23B8C168" w:rsidR="00AE1D5C" w:rsidRDefault="00AE1D5C" w:rsidP="00AE1D5C">
      <w:pPr>
        <w:rPr>
          <w:rFonts w:ascii="Arial" w:hAnsi="Arial" w:cs="Arial"/>
          <w:b/>
          <w:bCs/>
          <w:color w:val="010302"/>
          <w:sz w:val="15"/>
          <w:szCs w:val="15"/>
          <w:lang w:val="pl-PL"/>
        </w:rPr>
      </w:pPr>
      <w:r w:rsidRPr="00AE1D5C">
        <w:rPr>
          <w:rFonts w:ascii="Arial" w:hAnsi="Arial" w:cs="Arial"/>
          <w:b/>
          <w:bCs/>
          <w:color w:val="010302"/>
          <w:sz w:val="15"/>
          <w:szCs w:val="15"/>
          <w:lang w:val="pl-PL"/>
        </w:rPr>
        <w:t>Systemy obejmują spółkę i wszystkie obszary działania jej grupy, które mają istotny wpływ na sytuację spółki</w:t>
      </w:r>
      <w:r>
        <w:rPr>
          <w:rFonts w:ascii="Arial" w:hAnsi="Arial" w:cs="Arial"/>
          <w:b/>
          <w:bCs/>
          <w:color w:val="010302"/>
          <w:sz w:val="15"/>
          <w:szCs w:val="15"/>
          <w:lang w:val="pl-PL"/>
        </w:rPr>
        <w:t>.</w:t>
      </w:r>
    </w:p>
    <w:p w14:paraId="1BD4182A" w14:textId="77777777" w:rsidR="00AE1D5C" w:rsidRDefault="00AE1D5C" w:rsidP="00AE1D5C">
      <w:pPr>
        <w:rPr>
          <w:rFonts w:ascii="Arial" w:hAnsi="Arial" w:cs="Arial"/>
          <w:b/>
          <w:bCs/>
          <w:color w:val="010302"/>
          <w:sz w:val="15"/>
          <w:szCs w:val="15"/>
          <w:lang w:val="pl-PL"/>
        </w:rPr>
      </w:pPr>
    </w:p>
    <w:p w14:paraId="1CC83308" w14:textId="77777777" w:rsidR="00AE1D5C" w:rsidRDefault="00AE1D5C" w:rsidP="00AE1D5C">
      <w:pPr>
        <w:rPr>
          <w:rFonts w:ascii="Arial" w:hAnsi="Arial" w:cs="Arial"/>
          <w:b/>
          <w:bCs/>
          <w:color w:val="010302"/>
          <w:sz w:val="15"/>
          <w:szCs w:val="15"/>
          <w:lang w:val="pl-PL"/>
        </w:rPr>
      </w:pPr>
    </w:p>
    <w:p w14:paraId="56300F76"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Spółka giełdowa utrzymuje skuteczne systemy: kontroli wewnętrznej, zarządzania ryzykiem oraz nadzoru zgodności działalności z prawem (</w:t>
      </w:r>
      <w:proofErr w:type="spellStart"/>
      <w:r w:rsidRPr="00AE1D5C">
        <w:rPr>
          <w:rFonts w:ascii="Arial" w:hAnsi="Arial" w:cs="Arial"/>
          <w:color w:val="010302"/>
          <w:sz w:val="15"/>
          <w:szCs w:val="15"/>
          <w:lang w:val="pl-PL"/>
        </w:rPr>
        <w:t>compliance</w:t>
      </w:r>
      <w:proofErr w:type="spellEnd"/>
      <w:r w:rsidRPr="00AE1D5C">
        <w:rPr>
          <w:rFonts w:ascii="Arial" w:hAnsi="Arial" w:cs="Arial"/>
          <w:color w:val="010302"/>
          <w:sz w:val="15"/>
          <w:szCs w:val="15"/>
          <w:lang w:val="pl-PL"/>
        </w:rPr>
        <w:t>), a także skuteczną funkcję audytu wewnętrznego, odpowiednie do wielkości spółki i rodzaju oraz skali prowadzonej działalności, za działanie których odpowiada zarząd.</w:t>
      </w:r>
      <w:r>
        <w:rPr>
          <w:rFonts w:ascii="Arial" w:hAnsi="Arial" w:cs="Arial"/>
          <w:color w:val="010302"/>
          <w:sz w:val="15"/>
          <w:szCs w:val="15"/>
          <w:lang w:val="pl-PL"/>
        </w:rPr>
        <w:t xml:space="preserve"> </w:t>
      </w:r>
    </w:p>
    <w:p w14:paraId="671567BC" w14:textId="479264C1" w:rsidR="00AE1D5C" w:rsidRPr="00AE1D5C" w:rsidRDefault="00AE1D5C" w:rsidP="00AE1D5C">
      <w:pPr>
        <w:pStyle w:val="Akapitzlist"/>
        <w:spacing w:line="204" w:lineRule="exact"/>
        <w:ind w:left="792" w:right="132"/>
        <w:jc w:val="both"/>
        <w:rPr>
          <w:rFonts w:ascii="Arial" w:hAnsi="Arial" w:cs="Arial"/>
          <w:i/>
          <w:iCs/>
          <w:color w:val="010302"/>
          <w:sz w:val="15"/>
          <w:szCs w:val="15"/>
          <w:u w:val="single"/>
          <w:lang w:val="pl-PL"/>
        </w:rPr>
      </w:pPr>
      <w:r w:rsidRPr="00AE1D5C">
        <w:rPr>
          <w:rFonts w:ascii="Arial" w:hAnsi="Arial" w:cs="Arial"/>
          <w:i/>
          <w:iCs/>
          <w:color w:val="010302"/>
          <w:sz w:val="15"/>
          <w:szCs w:val="15"/>
          <w:u w:val="single"/>
          <w:lang w:val="pl-PL"/>
        </w:rPr>
        <w:t>Zasada nie jest stosowana.</w:t>
      </w:r>
    </w:p>
    <w:p w14:paraId="2925B5D1" w14:textId="773A2B0D"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b/>
          <w:bCs/>
          <w:i/>
          <w:iCs/>
          <w:color w:val="010302"/>
          <w:sz w:val="15"/>
          <w:szCs w:val="15"/>
          <w:lang w:val="pl-PL"/>
        </w:rPr>
        <w:t>Komentarz spółki:</w:t>
      </w:r>
      <w:r w:rsidRPr="00AE1D5C">
        <w:rPr>
          <w:rFonts w:ascii="Arial" w:hAnsi="Arial" w:cs="Arial"/>
          <w:color w:val="010302"/>
          <w:sz w:val="15"/>
          <w:szCs w:val="15"/>
          <w:lang w:val="pl-PL"/>
        </w:rPr>
        <w:t xml:space="preserve"> </w:t>
      </w:r>
      <w:r w:rsidRPr="00AE1D5C">
        <w:rPr>
          <w:rFonts w:ascii="Arial" w:hAnsi="Arial" w:cs="Arial"/>
          <w:i/>
          <w:iCs/>
          <w:color w:val="010302"/>
          <w:sz w:val="15"/>
          <w:szCs w:val="15"/>
          <w:lang w:val="pl-PL"/>
        </w:rPr>
        <w:t>W Spółce nie wyodrębniono organizacyjnie jednostki audytu wewnętrznego. Systemy kontroli wewnętrznej i zarządzania ryzykiem mają charakter rozproszony i są realizowane przez różne piony operacyjne.</w:t>
      </w:r>
    </w:p>
    <w:p w14:paraId="4F33B2E2" w14:textId="77777777" w:rsidR="00AE1D5C" w:rsidRPr="00AE1D5C" w:rsidRDefault="00AE1D5C" w:rsidP="00AE1D5C">
      <w:pPr>
        <w:pStyle w:val="Akapitzlist"/>
        <w:spacing w:line="204" w:lineRule="exact"/>
        <w:ind w:left="792" w:right="132"/>
        <w:jc w:val="both"/>
        <w:rPr>
          <w:rFonts w:ascii="Arial" w:hAnsi="Arial" w:cs="Arial"/>
          <w:color w:val="010302"/>
          <w:sz w:val="15"/>
          <w:szCs w:val="15"/>
          <w:lang w:val="pl-PL"/>
        </w:rPr>
      </w:pPr>
    </w:p>
    <w:p w14:paraId="29EFAD2E"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 xml:space="preserve">Spółka wyodrębnia w swojej strukturze jednostki odpowiedzialne za zadania poszczególnych systemów lub funkcji, chyba że nie jest to uzasadnione z uwagi na rozmiar spółki lub rodzaj jej działalności. </w:t>
      </w:r>
    </w:p>
    <w:p w14:paraId="13220F4D" w14:textId="77777777"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nie jest stosowana</w:t>
      </w:r>
      <w:r w:rsidRPr="00AE1D5C">
        <w:rPr>
          <w:rFonts w:ascii="Arial" w:hAnsi="Arial" w:cs="Arial"/>
          <w:color w:val="010302"/>
          <w:sz w:val="15"/>
          <w:szCs w:val="15"/>
          <w:lang w:val="pl-PL"/>
        </w:rPr>
        <w:t>.</w:t>
      </w:r>
      <w:r>
        <w:rPr>
          <w:rFonts w:ascii="Arial" w:hAnsi="Arial" w:cs="Arial"/>
          <w:color w:val="010302"/>
          <w:sz w:val="15"/>
          <w:szCs w:val="15"/>
          <w:lang w:val="pl-PL"/>
        </w:rPr>
        <w:t xml:space="preserve"> </w:t>
      </w:r>
    </w:p>
    <w:p w14:paraId="6A5833ED" w14:textId="31F18E12" w:rsidR="00AE1D5C" w:rsidRPr="00AE1D5C" w:rsidRDefault="00AE1D5C" w:rsidP="00AE1D5C">
      <w:pPr>
        <w:pStyle w:val="Akapitzlist"/>
        <w:spacing w:line="204" w:lineRule="exact"/>
        <w:ind w:left="792" w:right="132"/>
        <w:jc w:val="both"/>
        <w:rPr>
          <w:rFonts w:ascii="Arial" w:hAnsi="Arial" w:cs="Arial"/>
          <w:i/>
          <w:iCs/>
          <w:color w:val="010302"/>
          <w:sz w:val="15"/>
          <w:szCs w:val="15"/>
          <w:lang w:val="pl-PL"/>
        </w:rPr>
      </w:pPr>
      <w:r w:rsidRPr="00AE1D5C">
        <w:rPr>
          <w:rFonts w:ascii="Arial" w:hAnsi="Arial" w:cs="Arial"/>
          <w:b/>
          <w:bCs/>
          <w:i/>
          <w:iCs/>
          <w:color w:val="010302"/>
          <w:sz w:val="15"/>
          <w:szCs w:val="15"/>
          <w:lang w:val="pl-PL"/>
        </w:rPr>
        <w:t>Komentarz</w:t>
      </w:r>
      <w:r w:rsidRPr="00AE1D5C">
        <w:rPr>
          <w:rFonts w:ascii="Arial" w:hAnsi="Arial" w:cs="Arial"/>
          <w:color w:val="010302"/>
          <w:sz w:val="15"/>
          <w:szCs w:val="15"/>
          <w:lang w:val="pl-PL"/>
        </w:rPr>
        <w:t xml:space="preserve"> </w:t>
      </w:r>
      <w:r w:rsidRPr="00AE1D5C">
        <w:rPr>
          <w:rFonts w:ascii="Arial" w:hAnsi="Arial" w:cs="Arial"/>
          <w:b/>
          <w:bCs/>
          <w:i/>
          <w:iCs/>
          <w:color w:val="010302"/>
          <w:sz w:val="15"/>
          <w:szCs w:val="15"/>
          <w:lang w:val="pl-PL"/>
        </w:rPr>
        <w:t>spółki</w:t>
      </w:r>
      <w:r w:rsidRPr="00AE1D5C">
        <w:rPr>
          <w:rFonts w:ascii="Arial" w:hAnsi="Arial" w:cs="Arial"/>
          <w:color w:val="010302"/>
          <w:sz w:val="15"/>
          <w:szCs w:val="15"/>
          <w:lang w:val="pl-PL"/>
        </w:rPr>
        <w:t xml:space="preserve">: </w:t>
      </w:r>
      <w:r w:rsidRPr="00AE1D5C">
        <w:rPr>
          <w:rFonts w:ascii="Arial" w:hAnsi="Arial" w:cs="Arial"/>
          <w:i/>
          <w:iCs/>
          <w:color w:val="010302"/>
          <w:sz w:val="15"/>
          <w:szCs w:val="15"/>
          <w:lang w:val="pl-PL"/>
        </w:rPr>
        <w:t>Wyodrębnienie jednostek organizacyjnych odpowiedzialnych za zadania poszczególnych systemów i funkcji nie jest uzasadnione z uwagi na rodzaj działalności prowadzonej przez Spółkę.</w:t>
      </w:r>
    </w:p>
    <w:p w14:paraId="7895A472" w14:textId="77777777" w:rsidR="00AE1D5C" w:rsidRPr="00AE1D5C" w:rsidRDefault="00AE1D5C" w:rsidP="00AE1D5C">
      <w:pPr>
        <w:pStyle w:val="Akapitzlist"/>
        <w:spacing w:line="204" w:lineRule="exact"/>
        <w:ind w:left="792" w:right="132"/>
        <w:jc w:val="both"/>
        <w:rPr>
          <w:rFonts w:ascii="Arial" w:hAnsi="Arial" w:cs="Arial"/>
          <w:color w:val="010302"/>
          <w:sz w:val="15"/>
          <w:szCs w:val="15"/>
          <w:lang w:val="pl-PL"/>
        </w:rPr>
      </w:pPr>
    </w:p>
    <w:p w14:paraId="33942703"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Spółka należąca do indeksu WIG20, mWIG40 lub sWIG80 powołuje audytora wewnętrznego kierującego funkcją audytu wewnętrznego, działającego zgodnie z powszechnie uznanymi międzynarodowymi standardami praktyki zawodowej audytu wewnętrznego. W pozostałych spółkach, w których nie powołano audytora wewnętrznego spełniającego ww. wymogi, komitet audytu (lub rada nadzorcza, jeżeli pełni funkcje komitetu audytu) co roku dokonuje oceny, czy istnieje potrzeba powołania takiej osoby.</w:t>
      </w:r>
    </w:p>
    <w:p w14:paraId="189212F5" w14:textId="2FFFF7B9" w:rsidR="00AE1D5C" w:rsidRDefault="00AE1D5C" w:rsidP="00AE1D5C">
      <w:pPr>
        <w:pStyle w:val="Akapitzlist"/>
        <w:spacing w:line="204" w:lineRule="exact"/>
        <w:ind w:left="792" w:right="132"/>
        <w:jc w:val="both"/>
        <w:rPr>
          <w:rFonts w:ascii="Arial" w:hAnsi="Arial" w:cs="Arial"/>
          <w:i/>
          <w:iCs/>
          <w:color w:val="010302"/>
          <w:sz w:val="15"/>
          <w:szCs w:val="15"/>
          <w:u w:val="single"/>
          <w:lang w:val="pl-PL"/>
        </w:rPr>
      </w:pPr>
      <w:r w:rsidRPr="00AE1D5C">
        <w:rPr>
          <w:rFonts w:ascii="Arial" w:hAnsi="Arial" w:cs="Arial"/>
          <w:i/>
          <w:iCs/>
          <w:color w:val="010302"/>
          <w:sz w:val="15"/>
          <w:szCs w:val="15"/>
          <w:u w:val="single"/>
          <w:lang w:val="pl-PL"/>
        </w:rPr>
        <w:t>Zasada jest stosowana.</w:t>
      </w:r>
    </w:p>
    <w:p w14:paraId="68323EC9" w14:textId="77777777" w:rsidR="00AE1D5C" w:rsidRDefault="00AE1D5C" w:rsidP="00AE1D5C">
      <w:pPr>
        <w:pStyle w:val="Akapitzlist"/>
        <w:spacing w:line="204" w:lineRule="exact"/>
        <w:ind w:left="792" w:right="132"/>
        <w:jc w:val="both"/>
        <w:rPr>
          <w:rFonts w:ascii="Arial" w:hAnsi="Arial" w:cs="Arial"/>
          <w:color w:val="010302"/>
          <w:sz w:val="15"/>
          <w:szCs w:val="15"/>
          <w:lang w:val="pl-PL"/>
        </w:rPr>
      </w:pPr>
    </w:p>
    <w:p w14:paraId="17298415"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 xml:space="preserve">Wynagrodzenie osób odpowiedzialnych za zarządzanie ryzykiem i </w:t>
      </w:r>
      <w:proofErr w:type="spellStart"/>
      <w:r w:rsidRPr="00AE1D5C">
        <w:rPr>
          <w:rFonts w:ascii="Arial" w:hAnsi="Arial" w:cs="Arial"/>
          <w:color w:val="010302"/>
          <w:sz w:val="15"/>
          <w:szCs w:val="15"/>
          <w:lang w:val="pl-PL"/>
        </w:rPr>
        <w:t>compliance</w:t>
      </w:r>
      <w:proofErr w:type="spellEnd"/>
      <w:r w:rsidRPr="00AE1D5C">
        <w:rPr>
          <w:rFonts w:ascii="Arial" w:hAnsi="Arial" w:cs="Arial"/>
          <w:color w:val="010302"/>
          <w:sz w:val="15"/>
          <w:szCs w:val="15"/>
          <w:lang w:val="pl-PL"/>
        </w:rPr>
        <w:t xml:space="preserve"> oraz kierującego audytem wewnętrznym powinno być uzależnione od realizacji wyznaczonych zadań, a nie od krótkoterminowych wyników spółki. </w:t>
      </w:r>
    </w:p>
    <w:p w14:paraId="6F06BEF2" w14:textId="560BA0ED"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jest stosowana</w:t>
      </w:r>
      <w:r w:rsidRPr="00AE1D5C">
        <w:rPr>
          <w:rFonts w:ascii="Arial" w:hAnsi="Arial" w:cs="Arial"/>
          <w:color w:val="010302"/>
          <w:sz w:val="15"/>
          <w:szCs w:val="15"/>
          <w:lang w:val="pl-PL"/>
        </w:rPr>
        <w:t>.</w:t>
      </w:r>
    </w:p>
    <w:p w14:paraId="1064ABE5" w14:textId="77777777" w:rsidR="00AE1D5C" w:rsidRDefault="00AE1D5C" w:rsidP="00AE1D5C">
      <w:pPr>
        <w:pStyle w:val="Akapitzlist"/>
        <w:spacing w:line="204" w:lineRule="exact"/>
        <w:ind w:left="792" w:right="132"/>
        <w:jc w:val="both"/>
        <w:rPr>
          <w:rFonts w:ascii="Arial" w:hAnsi="Arial" w:cs="Arial"/>
          <w:color w:val="010302"/>
          <w:sz w:val="15"/>
          <w:szCs w:val="15"/>
          <w:lang w:val="pl-PL"/>
        </w:rPr>
      </w:pPr>
    </w:p>
    <w:p w14:paraId="51BC3314" w14:textId="4C0017F3"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 xml:space="preserve">Osoby odpowiedzialne za zarządzanie ryzykiem i </w:t>
      </w:r>
      <w:proofErr w:type="spellStart"/>
      <w:r w:rsidRPr="00AE1D5C">
        <w:rPr>
          <w:rFonts w:ascii="Arial" w:hAnsi="Arial" w:cs="Arial"/>
          <w:color w:val="010302"/>
          <w:sz w:val="15"/>
          <w:szCs w:val="15"/>
          <w:lang w:val="pl-PL"/>
        </w:rPr>
        <w:t>compliance</w:t>
      </w:r>
      <w:proofErr w:type="spellEnd"/>
      <w:r w:rsidRPr="00AE1D5C">
        <w:rPr>
          <w:rFonts w:ascii="Arial" w:hAnsi="Arial" w:cs="Arial"/>
          <w:color w:val="010302"/>
          <w:sz w:val="15"/>
          <w:szCs w:val="15"/>
          <w:lang w:val="pl-PL"/>
        </w:rPr>
        <w:t xml:space="preserve"> podlegają bezpośrednio prezesowi lub innemu członkowi zarządu. </w:t>
      </w:r>
    </w:p>
    <w:p w14:paraId="4C9CE6D7" w14:textId="77777777"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nie jest stosowana</w:t>
      </w:r>
      <w:r w:rsidRPr="00AE1D5C">
        <w:rPr>
          <w:rFonts w:ascii="Arial" w:hAnsi="Arial" w:cs="Arial"/>
          <w:color w:val="010302"/>
          <w:sz w:val="15"/>
          <w:szCs w:val="15"/>
          <w:lang w:val="pl-PL"/>
        </w:rPr>
        <w:t>.</w:t>
      </w:r>
    </w:p>
    <w:p w14:paraId="7D5E8374" w14:textId="6D6307F0"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b/>
          <w:bCs/>
          <w:i/>
          <w:iCs/>
          <w:color w:val="010302"/>
          <w:sz w:val="15"/>
          <w:szCs w:val="15"/>
          <w:lang w:val="pl-PL"/>
        </w:rPr>
        <w:t>Komentarz spółki</w:t>
      </w:r>
      <w:r w:rsidRPr="00AE1D5C">
        <w:rPr>
          <w:rFonts w:ascii="Arial" w:hAnsi="Arial" w:cs="Arial"/>
          <w:color w:val="010302"/>
          <w:sz w:val="15"/>
          <w:szCs w:val="15"/>
          <w:lang w:val="pl-PL"/>
        </w:rPr>
        <w:t xml:space="preserve">: </w:t>
      </w:r>
      <w:r w:rsidRPr="00AE1D5C">
        <w:rPr>
          <w:rFonts w:ascii="Arial" w:hAnsi="Arial" w:cs="Arial"/>
          <w:i/>
          <w:iCs/>
          <w:color w:val="010302"/>
          <w:sz w:val="15"/>
          <w:szCs w:val="15"/>
          <w:lang w:val="pl-PL"/>
        </w:rPr>
        <w:t xml:space="preserve">Nie wszystkie osoby odpowiedzialne w Spółce za zarządzanie ryzykiem i </w:t>
      </w:r>
      <w:proofErr w:type="spellStart"/>
      <w:r w:rsidRPr="00AE1D5C">
        <w:rPr>
          <w:rFonts w:ascii="Arial" w:hAnsi="Arial" w:cs="Arial"/>
          <w:i/>
          <w:iCs/>
          <w:color w:val="010302"/>
          <w:sz w:val="15"/>
          <w:szCs w:val="15"/>
          <w:lang w:val="pl-PL"/>
        </w:rPr>
        <w:t>compliance</w:t>
      </w:r>
      <w:proofErr w:type="spellEnd"/>
      <w:r w:rsidRPr="00AE1D5C">
        <w:rPr>
          <w:rFonts w:ascii="Arial" w:hAnsi="Arial" w:cs="Arial"/>
          <w:i/>
          <w:iCs/>
          <w:color w:val="010302"/>
          <w:sz w:val="15"/>
          <w:szCs w:val="15"/>
          <w:lang w:val="pl-PL"/>
        </w:rPr>
        <w:t xml:space="preserve"> podlegają bezpośrednio prezesowi lub innemu członkowi zarządu. System zarządzania ryzykiem, w tym ryzykiem braku zgodności, ma charakter rozproszony i jest realizowany przez różne piony operacyjne.</w:t>
      </w:r>
    </w:p>
    <w:p w14:paraId="774D35BA" w14:textId="77777777" w:rsidR="00AE1D5C" w:rsidRPr="00AE1D5C" w:rsidRDefault="00AE1D5C" w:rsidP="00AE1D5C">
      <w:pPr>
        <w:pStyle w:val="Akapitzlist"/>
        <w:spacing w:line="204" w:lineRule="exact"/>
        <w:ind w:left="792" w:right="132"/>
        <w:jc w:val="both"/>
        <w:rPr>
          <w:rFonts w:ascii="Arial" w:hAnsi="Arial" w:cs="Arial"/>
          <w:color w:val="010302"/>
          <w:sz w:val="15"/>
          <w:szCs w:val="15"/>
          <w:lang w:val="pl-PL"/>
        </w:rPr>
      </w:pPr>
    </w:p>
    <w:p w14:paraId="530C366F"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 xml:space="preserve">Kierujący audytem wewnętrznym podlega organizacyjnie prezesowi zarządu, a funkcjonalnie przewodniczącemu komitetu audytu lub przewodniczącemu rady nadzorczej, jeżeli rada pełni funkcję komitetu audytu. </w:t>
      </w:r>
    </w:p>
    <w:p w14:paraId="4980C6BF" w14:textId="5B547B54" w:rsidR="00AE1D5C" w:rsidRPr="00AE1D5C" w:rsidRDefault="00AE1D5C" w:rsidP="00AE1D5C">
      <w:pPr>
        <w:pStyle w:val="Akapitzlist"/>
        <w:spacing w:line="204" w:lineRule="exact"/>
        <w:ind w:left="792" w:right="132"/>
        <w:jc w:val="both"/>
        <w:rPr>
          <w:rFonts w:ascii="Arial" w:hAnsi="Arial" w:cs="Arial"/>
          <w:i/>
          <w:iCs/>
          <w:color w:val="010302"/>
          <w:sz w:val="15"/>
          <w:szCs w:val="15"/>
          <w:u w:val="single"/>
          <w:lang w:val="pl-PL"/>
        </w:rPr>
      </w:pPr>
      <w:r w:rsidRPr="00AE1D5C">
        <w:rPr>
          <w:rFonts w:ascii="Arial" w:hAnsi="Arial" w:cs="Arial"/>
          <w:i/>
          <w:iCs/>
          <w:color w:val="010302"/>
          <w:sz w:val="15"/>
          <w:szCs w:val="15"/>
          <w:u w:val="single"/>
          <w:lang w:val="pl-PL"/>
        </w:rPr>
        <w:t>Zasada nie jest stosowana.</w:t>
      </w:r>
    </w:p>
    <w:p w14:paraId="2531D90D" w14:textId="01BA6ED5"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b/>
          <w:bCs/>
          <w:i/>
          <w:iCs/>
          <w:color w:val="010302"/>
          <w:sz w:val="15"/>
          <w:szCs w:val="15"/>
          <w:lang w:val="pl-PL"/>
        </w:rPr>
        <w:t>Komentarz spółki</w:t>
      </w:r>
      <w:r w:rsidRPr="00AE1D5C">
        <w:rPr>
          <w:rFonts w:ascii="Arial" w:hAnsi="Arial" w:cs="Arial"/>
          <w:i/>
          <w:iCs/>
          <w:color w:val="010302"/>
          <w:sz w:val="15"/>
          <w:szCs w:val="15"/>
          <w:lang w:val="pl-PL"/>
        </w:rPr>
        <w:t>: W Spółce nie wyodrębniono organizacyjnie jednostki audytu wewnętrznego. Systemy kontroli wewnętrznej i zarządzania ryzykiem mają charakter rozproszony i są realizowane przez różne piony operacyjne.</w:t>
      </w:r>
    </w:p>
    <w:p w14:paraId="2C7E4F70" w14:textId="77777777" w:rsidR="00AE1D5C" w:rsidRPr="00AE1D5C" w:rsidRDefault="00AE1D5C" w:rsidP="00AE1D5C">
      <w:pPr>
        <w:pStyle w:val="Akapitzlist"/>
        <w:spacing w:line="204" w:lineRule="exact"/>
        <w:ind w:left="792" w:right="132"/>
        <w:jc w:val="both"/>
        <w:rPr>
          <w:rFonts w:ascii="Arial" w:hAnsi="Arial" w:cs="Arial"/>
          <w:color w:val="010302"/>
          <w:sz w:val="15"/>
          <w:szCs w:val="15"/>
          <w:lang w:val="pl-PL"/>
        </w:rPr>
      </w:pPr>
    </w:p>
    <w:p w14:paraId="53D52E2E"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Zasady 3.4 - 3.6 mają zastosowanie również w przypadku podmiotów z grupy spółki o istotnym znaczeniu dla jej działalności, jeśli wyznaczono w nich osoby do wykonywania tych zadań.</w:t>
      </w:r>
    </w:p>
    <w:p w14:paraId="77BA0C96" w14:textId="77777777"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nie dotyczy spółki</w:t>
      </w:r>
      <w:r w:rsidRPr="00AE1D5C">
        <w:rPr>
          <w:rFonts w:ascii="Arial" w:hAnsi="Arial" w:cs="Arial"/>
          <w:color w:val="010302"/>
          <w:sz w:val="15"/>
          <w:szCs w:val="15"/>
          <w:lang w:val="pl-PL"/>
        </w:rPr>
        <w:t>.</w:t>
      </w:r>
    </w:p>
    <w:p w14:paraId="0A298F24" w14:textId="3781DE43"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b/>
          <w:bCs/>
          <w:i/>
          <w:iCs/>
          <w:color w:val="010302"/>
          <w:sz w:val="15"/>
          <w:szCs w:val="15"/>
          <w:lang w:val="pl-PL"/>
        </w:rPr>
        <w:t>Komentarz spółki</w:t>
      </w:r>
      <w:r w:rsidRPr="00AE1D5C">
        <w:rPr>
          <w:rFonts w:ascii="Arial" w:hAnsi="Arial" w:cs="Arial"/>
          <w:color w:val="010302"/>
          <w:sz w:val="15"/>
          <w:szCs w:val="15"/>
          <w:lang w:val="pl-PL"/>
        </w:rPr>
        <w:t xml:space="preserve">: </w:t>
      </w:r>
      <w:r w:rsidRPr="009A3E8F">
        <w:rPr>
          <w:rFonts w:ascii="Arial" w:hAnsi="Arial" w:cs="Arial"/>
          <w:i/>
          <w:iCs/>
          <w:color w:val="010302"/>
          <w:sz w:val="15"/>
          <w:szCs w:val="15"/>
          <w:lang w:val="pl-PL"/>
        </w:rPr>
        <w:t>Zasada nie dotyczy Spółki.</w:t>
      </w:r>
    </w:p>
    <w:p w14:paraId="70DD4F96" w14:textId="77777777" w:rsidR="00AE1D5C" w:rsidRPr="00AE1D5C" w:rsidRDefault="00AE1D5C" w:rsidP="00AE1D5C">
      <w:pPr>
        <w:pStyle w:val="Akapitzlist"/>
        <w:spacing w:line="204" w:lineRule="exact"/>
        <w:ind w:left="792" w:right="132"/>
        <w:jc w:val="both"/>
        <w:rPr>
          <w:rFonts w:ascii="Arial" w:hAnsi="Arial" w:cs="Arial"/>
          <w:color w:val="010302"/>
          <w:sz w:val="15"/>
          <w:szCs w:val="15"/>
          <w:lang w:val="pl-PL"/>
        </w:rPr>
      </w:pPr>
    </w:p>
    <w:p w14:paraId="74C5C8D9" w14:textId="77777777" w:rsidR="00AE1D5C"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AE1D5C">
        <w:rPr>
          <w:rFonts w:ascii="Arial" w:hAnsi="Arial" w:cs="Arial"/>
          <w:color w:val="010302"/>
          <w:sz w:val="15"/>
          <w:szCs w:val="15"/>
          <w:lang w:val="pl-PL"/>
        </w:rPr>
        <w:t xml:space="preserve">Co najmniej raz w roku osoba odpowiedzialna za audyt wewnętrzny, a w przypadku braku wyodrębnienia w spółce takiej funkcji zarząd spółki, przedstawia radzie nadzorczej ocenę skuteczności funkcjonowania systemów i funkcji, o których mowa w zasadzie 3.1, wraz z odpowiednim sprawozdaniem. </w:t>
      </w:r>
    </w:p>
    <w:p w14:paraId="0D9F11BA" w14:textId="1325A6DC" w:rsidR="00AE1D5C" w:rsidRDefault="00AE1D5C" w:rsidP="00AE1D5C">
      <w:pPr>
        <w:pStyle w:val="Akapitzlist"/>
        <w:spacing w:line="204" w:lineRule="exact"/>
        <w:ind w:left="792" w:right="132"/>
        <w:jc w:val="both"/>
        <w:rPr>
          <w:rFonts w:ascii="Arial" w:hAnsi="Arial" w:cs="Arial"/>
          <w:color w:val="010302"/>
          <w:sz w:val="15"/>
          <w:szCs w:val="15"/>
          <w:lang w:val="pl-PL"/>
        </w:rPr>
      </w:pPr>
      <w:r w:rsidRPr="00AE1D5C">
        <w:rPr>
          <w:rFonts w:ascii="Arial" w:hAnsi="Arial" w:cs="Arial"/>
          <w:i/>
          <w:iCs/>
          <w:color w:val="010302"/>
          <w:sz w:val="15"/>
          <w:szCs w:val="15"/>
          <w:u w:val="single"/>
          <w:lang w:val="pl-PL"/>
        </w:rPr>
        <w:t>Zasada jest stosowana</w:t>
      </w:r>
      <w:r w:rsidRPr="00AE1D5C">
        <w:rPr>
          <w:rFonts w:ascii="Arial" w:hAnsi="Arial" w:cs="Arial"/>
          <w:color w:val="010302"/>
          <w:sz w:val="15"/>
          <w:szCs w:val="15"/>
          <w:lang w:val="pl-PL"/>
        </w:rPr>
        <w:t>.</w:t>
      </w:r>
      <w:r w:rsidR="001A3A7A">
        <w:rPr>
          <w:rFonts w:ascii="Arial" w:hAnsi="Arial" w:cs="Arial"/>
          <w:color w:val="010302"/>
          <w:sz w:val="15"/>
          <w:szCs w:val="15"/>
          <w:lang w:val="pl-PL"/>
        </w:rPr>
        <w:t xml:space="preserve"> </w:t>
      </w:r>
    </w:p>
    <w:p w14:paraId="60039227" w14:textId="77777777" w:rsidR="001A3A7A" w:rsidRPr="00AE1D5C" w:rsidRDefault="001A3A7A" w:rsidP="00AE1D5C">
      <w:pPr>
        <w:pStyle w:val="Akapitzlist"/>
        <w:spacing w:line="204" w:lineRule="exact"/>
        <w:ind w:left="792" w:right="132"/>
        <w:jc w:val="both"/>
        <w:rPr>
          <w:rFonts w:ascii="Arial" w:hAnsi="Arial" w:cs="Arial"/>
          <w:color w:val="010302"/>
          <w:sz w:val="15"/>
          <w:szCs w:val="15"/>
          <w:lang w:val="pl-PL"/>
        </w:rPr>
      </w:pPr>
    </w:p>
    <w:p w14:paraId="63869658" w14:textId="77777777" w:rsidR="001A3A7A" w:rsidRDefault="00AE1D5C" w:rsidP="00AE1D5C">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Rada nadzorcza monitoruje skuteczność systemów i funkcji, o których mowa w zasadzie 3.1, w oparciu między</w:t>
      </w:r>
      <w:r w:rsidR="001A3A7A" w:rsidRPr="001A3A7A">
        <w:rPr>
          <w:rFonts w:ascii="Arial" w:hAnsi="Arial" w:cs="Arial"/>
          <w:color w:val="010302"/>
          <w:sz w:val="15"/>
          <w:szCs w:val="15"/>
          <w:lang w:val="pl-PL"/>
        </w:rPr>
        <w:t xml:space="preserve"> </w:t>
      </w:r>
      <w:r w:rsidRPr="001A3A7A">
        <w:rPr>
          <w:rFonts w:ascii="Arial" w:hAnsi="Arial" w:cs="Arial"/>
          <w:color w:val="010302"/>
          <w:sz w:val="15"/>
          <w:szCs w:val="15"/>
          <w:lang w:val="pl-PL"/>
        </w:rPr>
        <w:t>innymi o sprawozdania okresowo dostarczane jej bezpośrednio przez osoby odpowiedzialne za te funkcje oraz zarząd</w:t>
      </w:r>
      <w:r w:rsidR="001A3A7A" w:rsidRPr="001A3A7A">
        <w:rPr>
          <w:rFonts w:ascii="Arial" w:hAnsi="Arial" w:cs="Arial"/>
          <w:color w:val="010302"/>
          <w:sz w:val="15"/>
          <w:szCs w:val="15"/>
          <w:lang w:val="pl-PL"/>
        </w:rPr>
        <w:t xml:space="preserve"> </w:t>
      </w:r>
      <w:r w:rsidRPr="001A3A7A">
        <w:rPr>
          <w:rFonts w:ascii="Arial" w:hAnsi="Arial" w:cs="Arial"/>
          <w:color w:val="010302"/>
          <w:sz w:val="15"/>
          <w:szCs w:val="15"/>
          <w:lang w:val="pl-PL"/>
        </w:rPr>
        <w:t>spółki, jak również dokonuje rocznej oceny skuteczności funkcjonowania tych systemów i funkcji, zgodnie z zasadą</w:t>
      </w:r>
      <w:r w:rsidR="001A3A7A" w:rsidRPr="001A3A7A">
        <w:rPr>
          <w:rFonts w:ascii="Arial" w:hAnsi="Arial" w:cs="Arial"/>
          <w:color w:val="010302"/>
          <w:sz w:val="15"/>
          <w:szCs w:val="15"/>
          <w:lang w:val="pl-PL"/>
        </w:rPr>
        <w:t xml:space="preserve"> </w:t>
      </w:r>
      <w:r w:rsidRPr="001A3A7A">
        <w:rPr>
          <w:rFonts w:ascii="Arial" w:hAnsi="Arial" w:cs="Arial"/>
          <w:color w:val="010302"/>
          <w:sz w:val="15"/>
          <w:szCs w:val="15"/>
          <w:lang w:val="pl-PL"/>
        </w:rPr>
        <w:t>2.11.3. W przypadku gdy w spółce działa komitet audytu, monitoruje on skuteczność systemów i funkcji, o których</w:t>
      </w:r>
      <w:r w:rsidR="001A3A7A" w:rsidRPr="001A3A7A">
        <w:rPr>
          <w:rFonts w:ascii="Arial" w:hAnsi="Arial" w:cs="Arial"/>
          <w:color w:val="010302"/>
          <w:sz w:val="15"/>
          <w:szCs w:val="15"/>
          <w:lang w:val="pl-PL"/>
        </w:rPr>
        <w:t xml:space="preserve"> </w:t>
      </w:r>
      <w:r w:rsidRPr="001A3A7A">
        <w:rPr>
          <w:rFonts w:ascii="Arial" w:hAnsi="Arial" w:cs="Arial"/>
          <w:color w:val="010302"/>
          <w:sz w:val="15"/>
          <w:szCs w:val="15"/>
          <w:lang w:val="pl-PL"/>
        </w:rPr>
        <w:t>mowa w zasadzie 3.1, jednakże nie zwalnia to rady nadzorczej z dokonania rocznej oceny skuteczności</w:t>
      </w:r>
      <w:r w:rsidR="001A3A7A" w:rsidRPr="001A3A7A">
        <w:rPr>
          <w:rFonts w:ascii="Arial" w:hAnsi="Arial" w:cs="Arial"/>
          <w:color w:val="010302"/>
          <w:sz w:val="15"/>
          <w:szCs w:val="15"/>
          <w:lang w:val="pl-PL"/>
        </w:rPr>
        <w:t xml:space="preserve"> </w:t>
      </w:r>
      <w:r w:rsidRPr="001A3A7A">
        <w:rPr>
          <w:rFonts w:ascii="Arial" w:hAnsi="Arial" w:cs="Arial"/>
          <w:color w:val="010302"/>
          <w:sz w:val="15"/>
          <w:szCs w:val="15"/>
          <w:lang w:val="pl-PL"/>
        </w:rPr>
        <w:t>funkcjonowania tych systemów i funkcji.</w:t>
      </w:r>
      <w:r w:rsidR="001A3A7A" w:rsidRPr="001A3A7A">
        <w:rPr>
          <w:rFonts w:ascii="Arial" w:hAnsi="Arial" w:cs="Arial"/>
          <w:color w:val="010302"/>
          <w:sz w:val="15"/>
          <w:szCs w:val="15"/>
          <w:lang w:val="pl-PL"/>
        </w:rPr>
        <w:t xml:space="preserve"> </w:t>
      </w:r>
    </w:p>
    <w:p w14:paraId="542B53E6" w14:textId="3243865E" w:rsidR="00AE1D5C" w:rsidRDefault="00AE1D5C"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3DDF30AC"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6BE4AA67" w14:textId="77777777" w:rsidR="006712FE" w:rsidRDefault="00AE1D5C" w:rsidP="006712FE">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Co najmniej raz na pięć lat w spółce należącej do indeksu WIG20, mWIG40 lub sWIG80 dokonywany jest, przez</w:t>
      </w:r>
      <w:r w:rsidR="001A3A7A" w:rsidRPr="001A3A7A">
        <w:rPr>
          <w:rFonts w:ascii="Arial" w:hAnsi="Arial" w:cs="Arial"/>
          <w:color w:val="010302"/>
          <w:sz w:val="15"/>
          <w:szCs w:val="15"/>
          <w:lang w:val="pl-PL"/>
        </w:rPr>
        <w:t xml:space="preserve"> </w:t>
      </w:r>
      <w:r w:rsidRPr="001A3A7A">
        <w:rPr>
          <w:rFonts w:ascii="Arial" w:hAnsi="Arial" w:cs="Arial"/>
          <w:color w:val="010302"/>
          <w:sz w:val="15"/>
          <w:szCs w:val="15"/>
          <w:lang w:val="pl-PL"/>
        </w:rPr>
        <w:t xml:space="preserve">niezależnego </w:t>
      </w:r>
      <w:r w:rsidRPr="001A3A7A">
        <w:rPr>
          <w:rFonts w:ascii="Arial" w:hAnsi="Arial" w:cs="Arial"/>
          <w:color w:val="010302"/>
          <w:sz w:val="15"/>
          <w:szCs w:val="15"/>
          <w:lang w:val="pl-PL"/>
        </w:rPr>
        <w:lastRenderedPageBreak/>
        <w:t>audytora wybranego przy udziale komitetu audytu, przegląd funkcji audytu wewnętrznego.</w:t>
      </w:r>
      <w:r w:rsidR="001A3A7A" w:rsidRPr="001A3A7A">
        <w:rPr>
          <w:rFonts w:ascii="Arial" w:hAnsi="Arial" w:cs="Arial"/>
          <w:color w:val="010302"/>
          <w:sz w:val="15"/>
          <w:szCs w:val="15"/>
          <w:lang w:val="pl-PL"/>
        </w:rPr>
        <w:t xml:space="preserve"> </w:t>
      </w:r>
    </w:p>
    <w:p w14:paraId="65B9E9AC" w14:textId="77777777" w:rsidR="006712FE" w:rsidRDefault="006712FE" w:rsidP="006712FE">
      <w:pPr>
        <w:pStyle w:val="Akapitzlist"/>
        <w:spacing w:line="204" w:lineRule="exact"/>
        <w:ind w:left="792" w:right="132"/>
        <w:jc w:val="both"/>
        <w:rPr>
          <w:rFonts w:ascii="Arial" w:hAnsi="Arial" w:cs="Arial"/>
          <w:color w:val="010302"/>
          <w:sz w:val="15"/>
          <w:szCs w:val="15"/>
          <w:lang w:val="pl-PL"/>
        </w:rPr>
      </w:pPr>
      <w:r w:rsidRPr="006712FE">
        <w:rPr>
          <w:rFonts w:ascii="Arial" w:hAnsi="Arial" w:cs="Arial"/>
          <w:i/>
          <w:iCs/>
          <w:color w:val="010302"/>
          <w:sz w:val="15"/>
          <w:szCs w:val="15"/>
          <w:u w:val="single"/>
          <w:lang w:val="pl-PL"/>
        </w:rPr>
        <w:t>Zasada nie dotyczy spółki</w:t>
      </w:r>
      <w:r w:rsidRPr="006712FE">
        <w:rPr>
          <w:rFonts w:ascii="Arial" w:hAnsi="Arial" w:cs="Arial"/>
          <w:color w:val="010302"/>
          <w:sz w:val="15"/>
          <w:szCs w:val="15"/>
          <w:lang w:val="pl-PL"/>
        </w:rPr>
        <w:t>.</w:t>
      </w:r>
    </w:p>
    <w:p w14:paraId="29AC05CD" w14:textId="163AB838" w:rsidR="006712FE" w:rsidRPr="006712FE" w:rsidRDefault="006712FE" w:rsidP="006712FE">
      <w:pPr>
        <w:pStyle w:val="Akapitzlist"/>
        <w:spacing w:line="204" w:lineRule="exact"/>
        <w:ind w:left="792" w:right="132"/>
        <w:jc w:val="both"/>
        <w:rPr>
          <w:rFonts w:ascii="Arial" w:hAnsi="Arial" w:cs="Arial"/>
          <w:color w:val="010302"/>
          <w:sz w:val="15"/>
          <w:szCs w:val="15"/>
          <w:lang w:val="pl-PL"/>
        </w:rPr>
      </w:pPr>
      <w:r w:rsidRPr="006712FE">
        <w:rPr>
          <w:rFonts w:ascii="Arial" w:hAnsi="Arial" w:cs="Arial"/>
          <w:b/>
          <w:bCs/>
          <w:i/>
          <w:iCs/>
          <w:color w:val="010302"/>
          <w:sz w:val="15"/>
          <w:szCs w:val="15"/>
          <w:lang w:val="pl-PL"/>
        </w:rPr>
        <w:t>Komentarz spółki</w:t>
      </w:r>
      <w:r w:rsidRPr="006712FE">
        <w:rPr>
          <w:rFonts w:ascii="Arial" w:hAnsi="Arial" w:cs="Arial"/>
          <w:color w:val="010302"/>
          <w:sz w:val="15"/>
          <w:szCs w:val="15"/>
          <w:lang w:val="pl-PL"/>
        </w:rPr>
        <w:t xml:space="preserve">: </w:t>
      </w:r>
      <w:r w:rsidRPr="006712FE">
        <w:rPr>
          <w:rFonts w:ascii="Arial" w:hAnsi="Arial" w:cs="Arial"/>
          <w:i/>
          <w:iCs/>
          <w:color w:val="010302"/>
          <w:sz w:val="15"/>
          <w:szCs w:val="15"/>
          <w:lang w:val="pl-PL"/>
        </w:rPr>
        <w:t>Zasada nie dotyczy Spółki.</w:t>
      </w:r>
    </w:p>
    <w:p w14:paraId="74650BC9" w14:textId="28466791" w:rsidR="00AE1D5C" w:rsidRDefault="00AE1D5C" w:rsidP="001A3A7A">
      <w:pPr>
        <w:pStyle w:val="Akapitzlist"/>
        <w:spacing w:line="204" w:lineRule="exact"/>
        <w:ind w:left="792" w:right="132"/>
        <w:jc w:val="both"/>
        <w:rPr>
          <w:rFonts w:ascii="Arial" w:hAnsi="Arial" w:cs="Arial"/>
          <w:color w:val="010302"/>
          <w:sz w:val="15"/>
          <w:szCs w:val="15"/>
          <w:lang w:val="pl-PL"/>
        </w:rPr>
      </w:pPr>
    </w:p>
    <w:p w14:paraId="6B56DB0E" w14:textId="77777777" w:rsidR="001A3A7A" w:rsidRDefault="001A3A7A" w:rsidP="001A3A7A">
      <w:pPr>
        <w:pStyle w:val="Akapitzlist"/>
        <w:spacing w:line="204" w:lineRule="exact"/>
        <w:ind w:left="792" w:right="132"/>
        <w:jc w:val="both"/>
        <w:rPr>
          <w:rFonts w:ascii="Arial" w:hAnsi="Arial" w:cs="Arial"/>
          <w:sz w:val="15"/>
          <w:szCs w:val="15"/>
          <w:lang w:val="pl-PL"/>
        </w:rPr>
      </w:pPr>
    </w:p>
    <w:p w14:paraId="7892978E" w14:textId="77777777" w:rsidR="001A3A7A" w:rsidRDefault="001A3A7A" w:rsidP="001A3A7A">
      <w:pPr>
        <w:pStyle w:val="Akapitzlist"/>
        <w:spacing w:line="204" w:lineRule="exact"/>
        <w:ind w:left="792" w:right="132"/>
        <w:jc w:val="both"/>
        <w:rPr>
          <w:rFonts w:ascii="Arial" w:hAnsi="Arial" w:cs="Arial"/>
          <w:sz w:val="15"/>
          <w:szCs w:val="15"/>
          <w:lang w:val="pl-PL"/>
        </w:rPr>
      </w:pPr>
    </w:p>
    <w:p w14:paraId="1B016E07" w14:textId="77777777" w:rsidR="001A3A7A" w:rsidRDefault="001A3A7A" w:rsidP="001A3A7A">
      <w:pPr>
        <w:pStyle w:val="Akapitzlist"/>
        <w:spacing w:line="204" w:lineRule="exact"/>
        <w:ind w:left="792" w:right="132"/>
        <w:jc w:val="both"/>
        <w:rPr>
          <w:rFonts w:ascii="Arial" w:hAnsi="Arial" w:cs="Arial"/>
          <w:sz w:val="15"/>
          <w:szCs w:val="15"/>
          <w:lang w:val="pl-PL"/>
        </w:rPr>
      </w:pPr>
    </w:p>
    <w:p w14:paraId="6B6D7CAB" w14:textId="21D1345D" w:rsidR="001A3A7A" w:rsidRDefault="001A3A7A" w:rsidP="001A3A7A">
      <w:pPr>
        <w:pStyle w:val="Akapitzlist"/>
        <w:numPr>
          <w:ilvl w:val="0"/>
          <w:numId w:val="1"/>
        </w:numPr>
        <w:ind w:left="0" w:firstLine="0"/>
        <w:rPr>
          <w:rFonts w:ascii="Arial" w:hAnsi="Arial" w:cs="Arial"/>
          <w:b/>
          <w:bCs/>
          <w:lang w:val="pl-PL"/>
        </w:rPr>
      </w:pPr>
      <w:r w:rsidRPr="001A3A7A">
        <w:rPr>
          <w:rFonts w:ascii="Arial" w:hAnsi="Arial" w:cs="Arial"/>
          <w:b/>
          <w:bCs/>
          <w:lang w:val="pl-PL"/>
        </w:rPr>
        <w:t>WALNE ZGROMADZENIE I RELACJE Z AKCJONARIUSZAMI</w:t>
      </w:r>
    </w:p>
    <w:p w14:paraId="393F119A" w14:textId="77777777" w:rsidR="001A3A7A" w:rsidRDefault="001A3A7A" w:rsidP="001A3A7A">
      <w:pPr>
        <w:rPr>
          <w:rFonts w:ascii="Arial" w:hAnsi="Arial" w:cs="Arial"/>
          <w:b/>
          <w:bCs/>
          <w:lang w:val="pl-PL"/>
        </w:rPr>
      </w:pPr>
    </w:p>
    <w:p w14:paraId="1E826CC2" w14:textId="77777777" w:rsidR="001A3A7A" w:rsidRDefault="001A3A7A" w:rsidP="001A3A7A">
      <w:pPr>
        <w:jc w:val="both"/>
        <w:rPr>
          <w:rFonts w:ascii="Arial" w:hAnsi="Arial" w:cs="Arial"/>
          <w:b/>
          <w:bCs/>
          <w:color w:val="010302"/>
          <w:sz w:val="15"/>
          <w:szCs w:val="15"/>
          <w:lang w:val="pl-PL"/>
        </w:rPr>
      </w:pPr>
    </w:p>
    <w:p w14:paraId="374F6080" w14:textId="646C0180" w:rsidR="001A3A7A" w:rsidRDefault="001A3A7A" w:rsidP="001A3A7A">
      <w:pPr>
        <w:jc w:val="both"/>
        <w:rPr>
          <w:rFonts w:ascii="Arial" w:hAnsi="Arial" w:cs="Arial"/>
          <w:b/>
          <w:bCs/>
          <w:color w:val="010302"/>
          <w:sz w:val="15"/>
          <w:szCs w:val="15"/>
          <w:lang w:val="pl-PL"/>
        </w:rPr>
      </w:pPr>
      <w:r w:rsidRPr="001A3A7A">
        <w:rPr>
          <w:rFonts w:ascii="Arial" w:hAnsi="Arial" w:cs="Arial"/>
          <w:b/>
          <w:bCs/>
          <w:color w:val="010302"/>
          <w:sz w:val="15"/>
          <w:szCs w:val="15"/>
          <w:lang w:val="pl-PL"/>
        </w:rPr>
        <w:t xml:space="preserve">Zarząd spółki giełdowej i jej rada nadzorcza powinny zachęcać akcjonariuszy do zaangażowania się w sprawy spółki, wyrażającego się przede wszystkim aktywnym, osobistym lub przez pełnomocnika, udziałem w walnym zgromadzeniu. </w:t>
      </w:r>
    </w:p>
    <w:p w14:paraId="5E39021D" w14:textId="77777777" w:rsidR="001A3A7A" w:rsidRDefault="001A3A7A" w:rsidP="001A3A7A">
      <w:pPr>
        <w:jc w:val="both"/>
        <w:rPr>
          <w:rFonts w:ascii="Arial" w:hAnsi="Arial" w:cs="Arial"/>
          <w:b/>
          <w:bCs/>
          <w:color w:val="010302"/>
          <w:sz w:val="15"/>
          <w:szCs w:val="15"/>
          <w:lang w:val="pl-PL"/>
        </w:rPr>
      </w:pPr>
    </w:p>
    <w:p w14:paraId="0D256F00" w14:textId="77777777" w:rsidR="001A3A7A" w:rsidRDefault="001A3A7A" w:rsidP="001A3A7A">
      <w:pPr>
        <w:jc w:val="both"/>
        <w:rPr>
          <w:rFonts w:ascii="Arial" w:hAnsi="Arial" w:cs="Arial"/>
          <w:b/>
          <w:bCs/>
          <w:color w:val="010302"/>
          <w:sz w:val="15"/>
          <w:szCs w:val="15"/>
          <w:lang w:val="pl-PL"/>
        </w:rPr>
      </w:pPr>
      <w:r w:rsidRPr="001A3A7A">
        <w:rPr>
          <w:rFonts w:ascii="Arial" w:hAnsi="Arial" w:cs="Arial"/>
          <w:b/>
          <w:bCs/>
          <w:color w:val="010302"/>
          <w:sz w:val="15"/>
          <w:szCs w:val="15"/>
          <w:lang w:val="pl-PL"/>
        </w:rPr>
        <w:t xml:space="preserve">Walne zgromadzenie powinno obradować z poszanowaniem praw wszystkich akcjonariuszy i dążyć do tego, by podejmowane uchwały nie naruszały uzasadnionych interesów poszczególnych grup akcjonariuszy. </w:t>
      </w:r>
    </w:p>
    <w:p w14:paraId="15EA9BE9" w14:textId="77777777" w:rsidR="001A3A7A" w:rsidRDefault="001A3A7A" w:rsidP="001A3A7A">
      <w:pPr>
        <w:jc w:val="both"/>
        <w:rPr>
          <w:rFonts w:ascii="Arial" w:hAnsi="Arial" w:cs="Arial"/>
          <w:b/>
          <w:bCs/>
          <w:color w:val="010302"/>
          <w:sz w:val="15"/>
          <w:szCs w:val="15"/>
          <w:lang w:val="pl-PL"/>
        </w:rPr>
      </w:pPr>
    </w:p>
    <w:p w14:paraId="151D286D" w14:textId="701FFAEF" w:rsidR="001A3A7A" w:rsidRDefault="001A3A7A" w:rsidP="001A3A7A">
      <w:pPr>
        <w:jc w:val="both"/>
        <w:rPr>
          <w:rFonts w:ascii="Arial" w:hAnsi="Arial" w:cs="Arial"/>
          <w:b/>
          <w:bCs/>
          <w:color w:val="010302"/>
          <w:sz w:val="15"/>
          <w:szCs w:val="15"/>
          <w:lang w:val="pl-PL"/>
        </w:rPr>
      </w:pPr>
      <w:r w:rsidRPr="001A3A7A">
        <w:rPr>
          <w:rFonts w:ascii="Arial" w:hAnsi="Arial" w:cs="Arial"/>
          <w:b/>
          <w:bCs/>
          <w:color w:val="010302"/>
          <w:sz w:val="15"/>
          <w:szCs w:val="15"/>
          <w:lang w:val="pl-PL"/>
        </w:rPr>
        <w:t>Akcjonariusze biorący udział w walnym zgromadzeniu wykonują swoje uprawnienia w sposób nienaruszający dobrych obyczajów. Uczestnicy walnego zgromadzenia powinni przybywać na walne zgromadzenie przygotowani.</w:t>
      </w:r>
    </w:p>
    <w:p w14:paraId="3B827E2A" w14:textId="77777777" w:rsidR="001A3A7A" w:rsidRDefault="001A3A7A" w:rsidP="001A3A7A">
      <w:pPr>
        <w:jc w:val="both"/>
        <w:rPr>
          <w:rFonts w:ascii="Arial" w:hAnsi="Arial" w:cs="Arial"/>
          <w:b/>
          <w:bCs/>
          <w:color w:val="010302"/>
          <w:sz w:val="15"/>
          <w:szCs w:val="15"/>
          <w:lang w:val="pl-PL"/>
        </w:rPr>
      </w:pPr>
    </w:p>
    <w:p w14:paraId="5946238A" w14:textId="77777777" w:rsidR="001A3A7A" w:rsidRPr="001A3A7A" w:rsidRDefault="001A3A7A" w:rsidP="001A3A7A">
      <w:pPr>
        <w:jc w:val="both"/>
        <w:rPr>
          <w:rFonts w:ascii="Arial" w:hAnsi="Arial" w:cs="Arial"/>
          <w:b/>
          <w:bCs/>
          <w:color w:val="010302"/>
          <w:sz w:val="15"/>
          <w:szCs w:val="15"/>
          <w:lang w:val="pl-PL"/>
        </w:rPr>
      </w:pPr>
    </w:p>
    <w:p w14:paraId="33AC1A18"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Spółka powinna umożliwić akcjonariuszom udział w walnym zgromadzeniu przy wykorzystaniu środków komunikacji elektronicznej (e-walne), jeżeli jest to uzasadnione z uwagi na zgłaszane spółce oczekiwania akcjonariuszy, o ile jest w stanie zapewnić infrastrukturę techniczną niezbędną dla przeprowadzenia takiego walnego zgromadzenia. </w:t>
      </w:r>
    </w:p>
    <w:p w14:paraId="0F61E79A" w14:textId="77777777" w:rsidR="001A3A7A" w:rsidRDefault="001A3A7A" w:rsidP="001A3A7A">
      <w:pPr>
        <w:pStyle w:val="Akapitzlist"/>
        <w:spacing w:line="204" w:lineRule="exact"/>
        <w:ind w:left="792" w:right="132"/>
        <w:jc w:val="both"/>
        <w:rPr>
          <w:rFonts w:ascii="Arial" w:hAnsi="Arial" w:cs="Arial"/>
          <w:i/>
          <w:iCs/>
          <w:color w:val="010302"/>
          <w:sz w:val="15"/>
          <w:szCs w:val="15"/>
          <w:u w:val="single"/>
          <w:lang w:val="pl-PL"/>
        </w:rPr>
      </w:pPr>
      <w:r w:rsidRPr="001A3A7A">
        <w:rPr>
          <w:rFonts w:ascii="Arial" w:hAnsi="Arial" w:cs="Arial"/>
          <w:i/>
          <w:iCs/>
          <w:color w:val="010302"/>
          <w:sz w:val="15"/>
          <w:szCs w:val="15"/>
          <w:u w:val="single"/>
          <w:lang w:val="pl-PL"/>
        </w:rPr>
        <w:t>Zasada nie jest stosowana.</w:t>
      </w:r>
    </w:p>
    <w:p w14:paraId="0EAF4DF2" w14:textId="3E92F362" w:rsidR="001A3A7A" w:rsidRDefault="001A3A7A" w:rsidP="001A3A7A">
      <w:pPr>
        <w:pStyle w:val="Akapitzlist"/>
        <w:spacing w:line="204" w:lineRule="exact"/>
        <w:ind w:left="792" w:right="132"/>
        <w:jc w:val="both"/>
        <w:rPr>
          <w:rFonts w:ascii="Arial" w:hAnsi="Arial" w:cs="Arial"/>
          <w:i/>
          <w:iCs/>
          <w:color w:val="010302"/>
          <w:sz w:val="15"/>
          <w:szCs w:val="15"/>
          <w:lang w:val="pl-PL"/>
        </w:rPr>
      </w:pPr>
      <w:r w:rsidRPr="001A3A7A">
        <w:rPr>
          <w:rFonts w:ascii="Arial" w:hAnsi="Arial" w:cs="Arial"/>
          <w:b/>
          <w:bCs/>
          <w:i/>
          <w:iCs/>
          <w:color w:val="010302"/>
          <w:sz w:val="15"/>
          <w:szCs w:val="15"/>
          <w:lang w:val="pl-PL"/>
        </w:rPr>
        <w:t>Komentarz spółki</w:t>
      </w:r>
      <w:r w:rsidRPr="001A3A7A">
        <w:rPr>
          <w:rFonts w:ascii="Arial" w:hAnsi="Arial" w:cs="Arial"/>
          <w:color w:val="010302"/>
          <w:sz w:val="15"/>
          <w:szCs w:val="15"/>
          <w:lang w:val="pl-PL"/>
        </w:rPr>
        <w:t xml:space="preserve">: </w:t>
      </w:r>
      <w:r w:rsidRPr="001A3A7A">
        <w:rPr>
          <w:rFonts w:ascii="Arial" w:hAnsi="Arial" w:cs="Arial"/>
          <w:i/>
          <w:iCs/>
          <w:color w:val="010302"/>
          <w:sz w:val="15"/>
          <w:szCs w:val="15"/>
          <w:lang w:val="pl-PL"/>
        </w:rPr>
        <w:t>W ocenie Spółki dotychczasowy tryb przeprowadzania walnych zgromadzeń, realizowany na podstawie przepisów Kodeksu Spółek Handlowych, jest wystarczający.</w:t>
      </w:r>
    </w:p>
    <w:p w14:paraId="36CCFEDA" w14:textId="77777777" w:rsidR="001A3A7A" w:rsidRPr="001A3A7A" w:rsidRDefault="001A3A7A" w:rsidP="001A3A7A">
      <w:pPr>
        <w:pStyle w:val="Akapitzlist"/>
        <w:spacing w:line="204" w:lineRule="exact"/>
        <w:ind w:left="792" w:right="132"/>
        <w:jc w:val="both"/>
        <w:rPr>
          <w:rFonts w:ascii="Arial" w:hAnsi="Arial" w:cs="Arial"/>
          <w:i/>
          <w:iCs/>
          <w:color w:val="010302"/>
          <w:sz w:val="15"/>
          <w:szCs w:val="15"/>
          <w:u w:val="single"/>
          <w:lang w:val="pl-PL"/>
        </w:rPr>
      </w:pPr>
    </w:p>
    <w:p w14:paraId="6DF14F8E"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Spółka ustala miejsce i termin, a także formę walnego zgromadzenia w sposób umożliwiający udział w obradach jak największej liczbie akcjonariuszy. W tym celu spółka dokłada również starań, aby odwołanie walnego zgromadzenia, zmiana terminu lub zarządzenie przerwy w obradach następowały wyłącznie w uzasadnionych przypadkach oraz by nie uniemożliwiały lub nie ograniczały akcjonariuszom wykonywania prawa do uczestnictwa w walnym zgromadzeniu. </w:t>
      </w:r>
    </w:p>
    <w:p w14:paraId="49BC4024" w14:textId="0733EBFF" w:rsid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45A7D794"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74C8BBE2"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Spółka zapewnia powszechnie dostępną transmisję obrad walnego zgromadzenia w czasie rzeczywistym. </w:t>
      </w:r>
    </w:p>
    <w:p w14:paraId="4760400A" w14:textId="7C5C1CC5" w:rsid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nie jest stosowana</w:t>
      </w:r>
      <w:r w:rsidRPr="001A3A7A">
        <w:rPr>
          <w:rFonts w:ascii="Arial" w:hAnsi="Arial" w:cs="Arial"/>
          <w:color w:val="010302"/>
          <w:sz w:val="15"/>
          <w:szCs w:val="15"/>
          <w:lang w:val="pl-PL"/>
        </w:rPr>
        <w:t>.</w:t>
      </w:r>
    </w:p>
    <w:p w14:paraId="5285ADB4" w14:textId="44279B79" w:rsid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b/>
          <w:bCs/>
          <w:i/>
          <w:iCs/>
          <w:color w:val="010302"/>
          <w:sz w:val="15"/>
          <w:szCs w:val="15"/>
          <w:lang w:val="pl-PL"/>
        </w:rPr>
        <w:t>Komentarz spółki</w:t>
      </w:r>
      <w:r w:rsidRPr="001A3A7A">
        <w:rPr>
          <w:rFonts w:ascii="Arial" w:hAnsi="Arial" w:cs="Arial"/>
          <w:color w:val="010302"/>
          <w:sz w:val="15"/>
          <w:szCs w:val="15"/>
          <w:lang w:val="pl-PL"/>
        </w:rPr>
        <w:t xml:space="preserve">: </w:t>
      </w:r>
      <w:r w:rsidRPr="001A3A7A">
        <w:rPr>
          <w:rFonts w:ascii="Arial" w:hAnsi="Arial" w:cs="Arial"/>
          <w:i/>
          <w:iCs/>
          <w:color w:val="010302"/>
          <w:sz w:val="15"/>
          <w:szCs w:val="15"/>
          <w:lang w:val="pl-PL"/>
        </w:rPr>
        <w:t>W ocenie zarządu, nie ma potrzeby przeprowadzania powszechnie dostępnej transmisji obrad.</w:t>
      </w:r>
    </w:p>
    <w:p w14:paraId="21655C50"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0C8252CF"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Przedstawicielom mediów umożliwia się obecność na walnych zgromadzeniach. </w:t>
      </w:r>
    </w:p>
    <w:p w14:paraId="6F93105B" w14:textId="2DCC2A5F" w:rsid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3031C1A1"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12F0BD62"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W przypadku otrzymania przez zarząd informacji o zwołaniu walnego zgromadzenia na podstawie art. 399 § 2 – 4 Kodeksu spółek handlowych, zarząd niezwłocznie dokonuje czynności, do których jest zobowiązany w związku z organizacją i przeprowadzeniem walnego zgromadzenia. Zasada ma zastosowanie również w przypadku zwołania walnego zgromadzenia na podstawie upoważnienia wydanego przez sąd rejestrowy zgodnie z art. 400 § 3 Kodeksu spółek handlowych. </w:t>
      </w:r>
    </w:p>
    <w:p w14:paraId="15A66591" w14:textId="1CA1A2BF" w:rsid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498892B6"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42A1BFDD"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W celu ułatwienia akcjonariuszom biorącym udział w walnym zgromadzeniu głosowania nad uchwałami z należytym rozeznaniem, projekty uchwał walnego zgromadzenia dotyczących spraw i rozstrzygnięć innych niż o charakterze porządkowym powinny zawierać uzasadnienie, chyba że wynika ono z dokumentacji przedstawianej walnemu zgromadzeniu. W przypadku gdy umieszczenie danej sprawy w porządku obrad walnego zgromadzenia następuje na żądanie akcjonariusza lub akcjonariuszy, zarząd zwraca się o przedstawienie uzasadnienia proponowanej uchwały, o ile nie zostało ono uprzednio przedstawione przez akcjonariusza lub akcjonariuszy. </w:t>
      </w:r>
    </w:p>
    <w:p w14:paraId="166A084D" w14:textId="7AF92232"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nie jest stosowana</w:t>
      </w:r>
      <w:r w:rsidRPr="001A3A7A">
        <w:rPr>
          <w:rFonts w:ascii="Arial" w:hAnsi="Arial" w:cs="Arial"/>
          <w:color w:val="010302"/>
          <w:sz w:val="15"/>
          <w:szCs w:val="15"/>
          <w:lang w:val="pl-PL"/>
        </w:rPr>
        <w:t>.</w:t>
      </w:r>
    </w:p>
    <w:p w14:paraId="3CABA568" w14:textId="5070B5AD" w:rsidR="001A3A7A" w:rsidRDefault="001A3A7A" w:rsidP="001A3A7A">
      <w:pPr>
        <w:pStyle w:val="Akapitzlist"/>
        <w:spacing w:line="204" w:lineRule="exact"/>
        <w:ind w:left="792" w:right="132"/>
        <w:jc w:val="both"/>
        <w:rPr>
          <w:rFonts w:ascii="Arial" w:hAnsi="Arial" w:cs="Arial"/>
          <w:i/>
          <w:iCs/>
          <w:color w:val="010302"/>
          <w:sz w:val="15"/>
          <w:szCs w:val="15"/>
          <w:lang w:val="pl-PL"/>
        </w:rPr>
      </w:pPr>
      <w:r w:rsidRPr="001A3A7A">
        <w:rPr>
          <w:rFonts w:ascii="Arial" w:hAnsi="Arial" w:cs="Arial"/>
          <w:b/>
          <w:bCs/>
          <w:i/>
          <w:iCs/>
          <w:color w:val="010302"/>
          <w:sz w:val="15"/>
          <w:szCs w:val="15"/>
          <w:lang w:val="pl-PL"/>
        </w:rPr>
        <w:t>Komentarz spółki:</w:t>
      </w:r>
      <w:r w:rsidRPr="001A3A7A">
        <w:rPr>
          <w:rFonts w:ascii="Arial" w:hAnsi="Arial" w:cs="Arial"/>
          <w:i/>
          <w:iCs/>
          <w:color w:val="010302"/>
          <w:sz w:val="15"/>
          <w:szCs w:val="15"/>
          <w:lang w:val="pl-PL"/>
        </w:rPr>
        <w:t xml:space="preserve"> Zarząd Spółki zamierza sporządzać uzasadnienie uchwał tylko w przypadkach, gdy w ocenie zarządu uchwała nie ma typowego, powtarzalnego charakteru, dotyczy złożonej kwestii i gdy cel uchwały nie jest oczywisty lub w sytuacjach, gdy uzasadnienie uchwały jest wymagane przepisami prawa. W ocenie zarządu, opartej także na doświadczeniach, wiele typowych uchwał podejmowanych przez walne zgromadzenie nie wymaga szczególnego uzasadnienia i ich treść oraz cel jest oczywisty dla akcjonariuszy Spółki.</w:t>
      </w:r>
    </w:p>
    <w:p w14:paraId="20FA110C"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220B37B4"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Rada nadzorcza opiniuje projekty uchwał wnoszone przez zarząd do porządku obrad walnego zgromadzenia. </w:t>
      </w:r>
    </w:p>
    <w:p w14:paraId="2562D019" w14:textId="464D643C" w:rsidR="001A3A7A" w:rsidRPr="00FE073B" w:rsidRDefault="001A3A7A" w:rsidP="001A3A7A">
      <w:pPr>
        <w:pStyle w:val="Akapitzlist"/>
        <w:spacing w:line="204" w:lineRule="exact"/>
        <w:ind w:left="792" w:right="132"/>
        <w:jc w:val="both"/>
        <w:rPr>
          <w:rFonts w:ascii="Arial" w:hAnsi="Arial" w:cs="Arial"/>
          <w:i/>
          <w:iCs/>
          <w:color w:val="010302"/>
          <w:sz w:val="15"/>
          <w:szCs w:val="15"/>
          <w:u w:val="single"/>
          <w:lang w:val="pl-PL"/>
        </w:rPr>
      </w:pPr>
      <w:r w:rsidRPr="00FE073B">
        <w:rPr>
          <w:rFonts w:ascii="Arial" w:hAnsi="Arial" w:cs="Arial"/>
          <w:i/>
          <w:iCs/>
          <w:color w:val="010302"/>
          <w:sz w:val="15"/>
          <w:szCs w:val="15"/>
          <w:u w:val="single"/>
          <w:lang w:val="pl-PL"/>
        </w:rPr>
        <w:t>Zasada nie jest stosowana.</w:t>
      </w:r>
    </w:p>
    <w:p w14:paraId="60B10829" w14:textId="68D3DE6D" w:rsidR="001A3A7A" w:rsidRPr="001A3A7A" w:rsidRDefault="001A3A7A" w:rsidP="001A3A7A">
      <w:pPr>
        <w:pStyle w:val="Akapitzlist"/>
        <w:spacing w:line="204" w:lineRule="exact"/>
        <w:ind w:left="792" w:right="132"/>
        <w:jc w:val="both"/>
        <w:rPr>
          <w:rFonts w:ascii="Arial" w:hAnsi="Arial" w:cs="Arial"/>
          <w:i/>
          <w:iCs/>
          <w:color w:val="010302"/>
          <w:sz w:val="15"/>
          <w:szCs w:val="15"/>
          <w:lang w:val="pl-PL"/>
        </w:rPr>
      </w:pPr>
      <w:r w:rsidRPr="001A3A7A">
        <w:rPr>
          <w:rFonts w:ascii="Arial" w:hAnsi="Arial" w:cs="Arial"/>
          <w:b/>
          <w:bCs/>
          <w:i/>
          <w:iCs/>
          <w:color w:val="010302"/>
          <w:sz w:val="15"/>
          <w:szCs w:val="15"/>
          <w:lang w:val="pl-PL"/>
        </w:rPr>
        <w:t>Komentarz spółki</w:t>
      </w:r>
      <w:r w:rsidRPr="001A3A7A">
        <w:rPr>
          <w:rFonts w:ascii="Arial" w:hAnsi="Arial" w:cs="Arial"/>
          <w:i/>
          <w:iCs/>
          <w:color w:val="010302"/>
          <w:sz w:val="15"/>
          <w:szCs w:val="15"/>
          <w:lang w:val="pl-PL"/>
        </w:rPr>
        <w:t>: Rada nadzorcza opiniuje projekty uchwał wnoszone przez zarząd do porządku obrad walnego zgromadzenia w sprawach wskazanych w § 26.1 Statutu Spółki, a nie we wszystkich sprawach.</w:t>
      </w:r>
    </w:p>
    <w:p w14:paraId="02B6E3C3"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59191873"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lastRenderedPageBreak/>
        <w:t xml:space="preserve">Projekty uchwał walnego zgromadzenia do spraw wprowadzonych do porządku obrad walnego zgromadzenia powinny zostać zgłoszone przez akcjonariuszy najpóźniej na 3 dni przed walnym zgromadzeniem. </w:t>
      </w:r>
    </w:p>
    <w:p w14:paraId="64458142" w14:textId="1DF84919" w:rsidR="001A3A7A" w:rsidRPr="001A3A7A" w:rsidRDefault="001A3A7A" w:rsidP="001A3A7A">
      <w:pPr>
        <w:pStyle w:val="Akapitzlist"/>
        <w:spacing w:line="204" w:lineRule="exact"/>
        <w:ind w:left="792" w:right="132"/>
        <w:jc w:val="both"/>
        <w:rPr>
          <w:rFonts w:ascii="Arial" w:hAnsi="Arial" w:cs="Arial"/>
          <w:i/>
          <w:iCs/>
          <w:color w:val="010302"/>
          <w:sz w:val="15"/>
          <w:szCs w:val="15"/>
          <w:u w:val="single"/>
          <w:lang w:val="pl-PL"/>
        </w:rPr>
      </w:pPr>
      <w:r w:rsidRPr="001A3A7A">
        <w:rPr>
          <w:rFonts w:ascii="Arial" w:hAnsi="Arial" w:cs="Arial"/>
          <w:i/>
          <w:iCs/>
          <w:color w:val="010302"/>
          <w:sz w:val="15"/>
          <w:szCs w:val="15"/>
          <w:u w:val="single"/>
          <w:lang w:val="pl-PL"/>
        </w:rPr>
        <w:t>Zasada nie jest stosowana.</w:t>
      </w:r>
    </w:p>
    <w:p w14:paraId="5A7DB130" w14:textId="032BFF26" w:rsid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b/>
          <w:bCs/>
          <w:i/>
          <w:iCs/>
          <w:color w:val="010302"/>
          <w:sz w:val="15"/>
          <w:szCs w:val="15"/>
          <w:lang w:val="pl-PL"/>
        </w:rPr>
        <w:t>Komentarz spółki</w:t>
      </w:r>
      <w:r w:rsidRPr="001A3A7A">
        <w:rPr>
          <w:rFonts w:ascii="Arial" w:hAnsi="Arial" w:cs="Arial"/>
          <w:color w:val="010302"/>
          <w:sz w:val="15"/>
          <w:szCs w:val="15"/>
          <w:lang w:val="pl-PL"/>
        </w:rPr>
        <w:t xml:space="preserve">: </w:t>
      </w:r>
      <w:r w:rsidRPr="009A3E8F">
        <w:rPr>
          <w:rFonts w:ascii="Arial" w:hAnsi="Arial" w:cs="Arial"/>
          <w:i/>
          <w:iCs/>
          <w:color w:val="010302"/>
          <w:sz w:val="15"/>
          <w:szCs w:val="15"/>
          <w:lang w:val="pl-PL"/>
        </w:rPr>
        <w:t>Zgodnie z przepisami Kodeksu Spółek Handlowych projekty uchwał mogą być zgłaszane przez akcjonariuszy również w trakcie walnego zgromadzenia. Brak jest podstaw prawnych do ograniczania terminu, w którym akcjonariusze mogliby zgłaszać projekty uchwał.</w:t>
      </w:r>
    </w:p>
    <w:p w14:paraId="65FCDF0B"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545296F6" w14:textId="1FCC5E9E"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W przypadku gdy przedmiotem obrad walnego zgromadzenia ma być powołanie do rady nadzorczej lub powołanie</w:t>
      </w:r>
      <w:r>
        <w:rPr>
          <w:rFonts w:ascii="Arial" w:hAnsi="Arial" w:cs="Arial"/>
          <w:color w:val="010302"/>
          <w:sz w:val="15"/>
          <w:szCs w:val="15"/>
          <w:lang w:val="pl-PL"/>
        </w:rPr>
        <w:t xml:space="preserve"> </w:t>
      </w:r>
      <w:r w:rsidRPr="001A3A7A">
        <w:rPr>
          <w:rFonts w:ascii="Arial" w:hAnsi="Arial" w:cs="Arial"/>
          <w:color w:val="010302"/>
          <w:sz w:val="15"/>
          <w:szCs w:val="15"/>
          <w:lang w:val="pl-PL"/>
        </w:rPr>
        <w:t>rady nadzorczej nowej kadencji:</w:t>
      </w:r>
    </w:p>
    <w:p w14:paraId="047F95C4"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393286F1" w14:textId="77777777" w:rsidR="001A3A7A" w:rsidRDefault="001A3A7A" w:rsidP="001A3A7A">
      <w:pPr>
        <w:pStyle w:val="Akapitzlist"/>
        <w:numPr>
          <w:ilvl w:val="2"/>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kandydatury na członków rady powinny zostać zgłoszone w terminie umożliwiającym podjęcie przez akcjonariuszy obecnych na walnym zgromadzeniu decyzji z należytym rozeznaniem, lecz nie później niż na 3 dni przed walnym zgromadzeniem; kandydatury, wraz z kompletem materiałów ich dotyczących, powinny zostać niezwłocznie opublikowane na stronie internetowej spółki;</w:t>
      </w:r>
      <w:r>
        <w:rPr>
          <w:rFonts w:ascii="Arial" w:hAnsi="Arial" w:cs="Arial"/>
          <w:color w:val="010302"/>
          <w:sz w:val="15"/>
          <w:szCs w:val="15"/>
          <w:lang w:val="pl-PL"/>
        </w:rPr>
        <w:t xml:space="preserve"> </w:t>
      </w:r>
    </w:p>
    <w:p w14:paraId="71B86406" w14:textId="77777777" w:rsidR="001A3A7A" w:rsidRDefault="001A3A7A" w:rsidP="001A3A7A">
      <w:pPr>
        <w:pStyle w:val="Akapitzlist"/>
        <w:spacing w:line="204" w:lineRule="exact"/>
        <w:ind w:left="1224" w:right="132"/>
        <w:jc w:val="both"/>
        <w:rPr>
          <w:rFonts w:ascii="Arial" w:hAnsi="Arial" w:cs="Arial"/>
          <w:i/>
          <w:iCs/>
          <w:color w:val="010302"/>
          <w:sz w:val="15"/>
          <w:szCs w:val="15"/>
          <w:u w:val="single"/>
          <w:lang w:val="pl-PL"/>
        </w:rPr>
      </w:pPr>
      <w:r w:rsidRPr="001A3A7A">
        <w:rPr>
          <w:rFonts w:ascii="Arial" w:hAnsi="Arial" w:cs="Arial"/>
          <w:i/>
          <w:iCs/>
          <w:color w:val="010302"/>
          <w:sz w:val="15"/>
          <w:szCs w:val="15"/>
          <w:u w:val="single"/>
          <w:lang w:val="pl-PL"/>
        </w:rPr>
        <w:t>Zasada nie jest stosowana.</w:t>
      </w:r>
      <w:r>
        <w:rPr>
          <w:rFonts w:ascii="Arial" w:hAnsi="Arial" w:cs="Arial"/>
          <w:i/>
          <w:iCs/>
          <w:color w:val="010302"/>
          <w:sz w:val="15"/>
          <w:szCs w:val="15"/>
          <w:u w:val="single"/>
          <w:lang w:val="pl-PL"/>
        </w:rPr>
        <w:t xml:space="preserve"> </w:t>
      </w:r>
    </w:p>
    <w:p w14:paraId="65D6C307" w14:textId="626FAFCE" w:rsidR="001A3A7A" w:rsidRDefault="001A3A7A" w:rsidP="001A3A7A">
      <w:pPr>
        <w:pStyle w:val="Akapitzlist"/>
        <w:spacing w:line="204" w:lineRule="exact"/>
        <w:ind w:left="1224" w:right="132"/>
        <w:jc w:val="both"/>
        <w:rPr>
          <w:rFonts w:ascii="Arial" w:hAnsi="Arial" w:cs="Arial"/>
          <w:i/>
          <w:iCs/>
          <w:color w:val="010302"/>
          <w:sz w:val="15"/>
          <w:szCs w:val="15"/>
          <w:lang w:val="pl-PL"/>
        </w:rPr>
      </w:pPr>
      <w:r w:rsidRPr="001A3A7A">
        <w:rPr>
          <w:rFonts w:ascii="Arial" w:hAnsi="Arial" w:cs="Arial"/>
          <w:b/>
          <w:bCs/>
          <w:i/>
          <w:iCs/>
          <w:color w:val="010302"/>
          <w:sz w:val="15"/>
          <w:szCs w:val="15"/>
          <w:lang w:val="pl-PL"/>
        </w:rPr>
        <w:t>Komentarz spółki</w:t>
      </w:r>
      <w:r w:rsidRPr="001A3A7A">
        <w:rPr>
          <w:rFonts w:ascii="Arial" w:hAnsi="Arial" w:cs="Arial"/>
          <w:color w:val="010302"/>
          <w:sz w:val="15"/>
          <w:szCs w:val="15"/>
          <w:lang w:val="pl-PL"/>
        </w:rPr>
        <w:t>:</w:t>
      </w:r>
      <w:r w:rsidRPr="001A3A7A">
        <w:rPr>
          <w:rFonts w:ascii="Arial" w:hAnsi="Arial" w:cs="Arial"/>
          <w:i/>
          <w:iCs/>
          <w:color w:val="010302"/>
          <w:sz w:val="15"/>
          <w:szCs w:val="15"/>
          <w:lang w:val="pl-PL"/>
        </w:rPr>
        <w:t xml:space="preserve"> Zgodnie z przepisami Kodeksu Spółek Handlowych projekty uchwał mogą być zgłaszane przez akcjonariuszy również w trakcie walnego zgromadzenia. Brak jest podstaw prawnych do ograniczania terminu, w którym akcjonariusze mogliby zgłaszać kandydatów na członków rady nadzorczej.</w:t>
      </w:r>
    </w:p>
    <w:p w14:paraId="05DE1F40" w14:textId="77777777" w:rsidR="001A3A7A" w:rsidRPr="001A3A7A" w:rsidRDefault="001A3A7A" w:rsidP="001A3A7A">
      <w:pPr>
        <w:pStyle w:val="Akapitzlist"/>
        <w:spacing w:line="204" w:lineRule="exact"/>
        <w:ind w:left="1224" w:right="132"/>
        <w:jc w:val="both"/>
        <w:rPr>
          <w:rFonts w:ascii="Arial" w:hAnsi="Arial" w:cs="Arial"/>
          <w:color w:val="010302"/>
          <w:sz w:val="15"/>
          <w:szCs w:val="15"/>
          <w:lang w:val="pl-PL"/>
        </w:rPr>
      </w:pPr>
    </w:p>
    <w:p w14:paraId="3D746419" w14:textId="77777777" w:rsidR="001A3A7A" w:rsidRDefault="001A3A7A" w:rsidP="001A3A7A">
      <w:pPr>
        <w:pStyle w:val="Akapitzlist"/>
        <w:numPr>
          <w:ilvl w:val="2"/>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 xml:space="preserve">kandydat na członka rady nadzorczej składa oświadczenia w zakresie spełniania wymogów dla członków komitetu audytu określone w ustawie z dnia 11 maja 2017 r. o biegłych rewidentach, firmach audytorskich oraz nadzorze publicznym, a także w zakresie istnienia rzeczywistych i istotnych powiązań kandydata z akcjonariuszem posiadającym co najmniej 5% ogólnej liczby głosów w spółce. </w:t>
      </w:r>
    </w:p>
    <w:p w14:paraId="7EFF10A6" w14:textId="10DE5BCC" w:rsidR="001A3A7A" w:rsidRDefault="001A3A7A" w:rsidP="001A3A7A">
      <w:pPr>
        <w:pStyle w:val="Akapitzlist"/>
        <w:spacing w:line="204" w:lineRule="exact"/>
        <w:ind w:left="1224"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2D775404" w14:textId="77777777" w:rsidR="001A3A7A" w:rsidRPr="001A3A7A" w:rsidRDefault="001A3A7A" w:rsidP="001A3A7A">
      <w:pPr>
        <w:pStyle w:val="Akapitzlist"/>
        <w:spacing w:line="204" w:lineRule="exact"/>
        <w:ind w:left="1224" w:right="132"/>
        <w:jc w:val="both"/>
        <w:rPr>
          <w:rFonts w:ascii="Arial" w:hAnsi="Arial" w:cs="Arial"/>
          <w:color w:val="010302"/>
          <w:sz w:val="15"/>
          <w:szCs w:val="15"/>
          <w:lang w:val="pl-PL"/>
        </w:rPr>
      </w:pPr>
    </w:p>
    <w:p w14:paraId="24CD8A0E" w14:textId="77777777" w:rsid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Realizacja uprawnień akcjonariuszy oraz sposób wykonywania przez nich posiadanych uprawnień nie mogą prowadzić do utrudniania prawidłowego działania organów spółki.</w:t>
      </w:r>
      <w:r>
        <w:rPr>
          <w:rFonts w:ascii="Arial" w:hAnsi="Arial" w:cs="Arial"/>
          <w:color w:val="010302"/>
          <w:sz w:val="15"/>
          <w:szCs w:val="15"/>
          <w:lang w:val="pl-PL"/>
        </w:rPr>
        <w:t xml:space="preserve"> </w:t>
      </w:r>
    </w:p>
    <w:p w14:paraId="2FF40DE3" w14:textId="7B19B8A5" w:rsidR="001A3A7A" w:rsidRDefault="001A3A7A" w:rsidP="001A3A7A">
      <w:pPr>
        <w:pStyle w:val="Akapitzlist"/>
        <w:spacing w:line="204" w:lineRule="exact"/>
        <w:ind w:left="792" w:right="132"/>
        <w:jc w:val="both"/>
        <w:rPr>
          <w:rFonts w:ascii="Arial" w:hAnsi="Arial" w:cs="Arial"/>
          <w:color w:val="010302"/>
          <w:sz w:val="15"/>
          <w:szCs w:val="15"/>
          <w:lang w:val="pl-PL"/>
        </w:rPr>
      </w:pPr>
      <w:r w:rsidRPr="001A3A7A">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3D0AD09B" w14:textId="77777777" w:rsidR="001A3A7A" w:rsidRPr="001A3A7A" w:rsidRDefault="001A3A7A" w:rsidP="001A3A7A">
      <w:pPr>
        <w:pStyle w:val="Akapitzlist"/>
        <w:spacing w:line="204" w:lineRule="exact"/>
        <w:ind w:left="792" w:right="132"/>
        <w:jc w:val="both"/>
        <w:rPr>
          <w:rFonts w:ascii="Arial" w:hAnsi="Arial" w:cs="Arial"/>
          <w:color w:val="010302"/>
          <w:sz w:val="15"/>
          <w:szCs w:val="15"/>
          <w:lang w:val="pl-PL"/>
        </w:rPr>
      </w:pPr>
    </w:p>
    <w:p w14:paraId="57629440" w14:textId="7DC9BF1F" w:rsidR="001A3A7A" w:rsidRPr="001A3A7A"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Członkowie zarządu i rady nadzorczej biorą udział w obradach walnego zgromadzenia, w miejscu obrad lub za pośrednictwem środków dwustronnej komunikacji elektronicznej w czasie rzeczywistym, w składzie umożliwiającym wypowiedzenie się na temat spraw będących przedmiotem obrad walnego zgromadzenia oraz udzielenie merytorycznej odpowiedzi na pytania zadawane w trakcie walnego zgromadzenia. Zarząd prezentuje uczestnikom zwyczajnego walnego zgromadzenia wyniki finansowe spółki oraz inne istotne informacje, w tym niefinansowe, zawarte w sprawozdaniu finansowym podlegającym zatwierdzeniu przez walne zgromadzenie. Zarząd omawia istotne zdarzenia dotyczące minionego roku obrotowego, porównuje prezentowane dane z latami wcześniejszymi i wskazuje stopień realizacji planów minionego roku.</w:t>
      </w:r>
    </w:p>
    <w:p w14:paraId="7BDE4678" w14:textId="77777777" w:rsidR="001A3A7A" w:rsidRDefault="001A3A7A"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49D4780C" w14:textId="77777777" w:rsidR="00F57781" w:rsidRPr="001A3A7A" w:rsidRDefault="00F57781" w:rsidP="00F57781">
      <w:pPr>
        <w:pStyle w:val="Akapitzlist"/>
        <w:spacing w:line="204" w:lineRule="exact"/>
        <w:ind w:left="792" w:right="132"/>
        <w:jc w:val="both"/>
        <w:rPr>
          <w:rFonts w:ascii="Arial" w:hAnsi="Arial" w:cs="Arial"/>
          <w:color w:val="010302"/>
          <w:sz w:val="15"/>
          <w:szCs w:val="15"/>
          <w:lang w:val="pl-PL"/>
        </w:rPr>
      </w:pPr>
    </w:p>
    <w:p w14:paraId="2E21ABD5" w14:textId="36987C29" w:rsidR="001A3A7A" w:rsidRPr="00F57781"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Uchwała walnego zgromadzenia w sprawie emisji akcji z prawem poboru powinna precyzować cenę emisyjną albo</w:t>
      </w:r>
      <w:r w:rsidR="00F57781" w:rsidRPr="00F57781">
        <w:rPr>
          <w:rFonts w:ascii="Arial" w:hAnsi="Arial" w:cs="Arial"/>
          <w:color w:val="010302"/>
          <w:sz w:val="15"/>
          <w:szCs w:val="15"/>
          <w:lang w:val="pl-PL"/>
        </w:rPr>
        <w:t xml:space="preserve"> </w:t>
      </w:r>
      <w:r w:rsidRPr="00F57781">
        <w:rPr>
          <w:rFonts w:ascii="Arial" w:hAnsi="Arial" w:cs="Arial"/>
          <w:color w:val="010302"/>
          <w:sz w:val="15"/>
          <w:szCs w:val="15"/>
          <w:lang w:val="pl-PL"/>
        </w:rPr>
        <w:t>mechanizm jej ustalenia, bądź zobowiązywać organ do tego upoważniony do ustalenia jej przed dniem prawa poboru,</w:t>
      </w:r>
      <w:r w:rsidR="00F57781" w:rsidRPr="00F57781">
        <w:rPr>
          <w:rFonts w:ascii="Arial" w:hAnsi="Arial" w:cs="Arial"/>
          <w:color w:val="010302"/>
          <w:sz w:val="15"/>
          <w:szCs w:val="15"/>
          <w:lang w:val="pl-PL"/>
        </w:rPr>
        <w:t xml:space="preserve"> </w:t>
      </w:r>
      <w:r w:rsidRPr="00F57781">
        <w:rPr>
          <w:rFonts w:ascii="Arial" w:hAnsi="Arial" w:cs="Arial"/>
          <w:color w:val="010302"/>
          <w:sz w:val="15"/>
          <w:szCs w:val="15"/>
          <w:lang w:val="pl-PL"/>
        </w:rPr>
        <w:t>w terminie umożliwiającym podjęcie decyzji inwestycyjnej.</w:t>
      </w:r>
    </w:p>
    <w:p w14:paraId="5CC9E8DD" w14:textId="77777777" w:rsidR="001A3A7A" w:rsidRDefault="001A3A7A"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6DA416D5" w14:textId="77777777" w:rsidR="00F57781" w:rsidRPr="001A3A7A" w:rsidRDefault="00F57781" w:rsidP="00F57781">
      <w:pPr>
        <w:pStyle w:val="Akapitzlist"/>
        <w:spacing w:line="204" w:lineRule="exact"/>
        <w:ind w:left="792" w:right="132"/>
        <w:jc w:val="both"/>
        <w:rPr>
          <w:rFonts w:ascii="Arial" w:hAnsi="Arial" w:cs="Arial"/>
          <w:color w:val="010302"/>
          <w:sz w:val="15"/>
          <w:szCs w:val="15"/>
          <w:lang w:val="pl-PL"/>
        </w:rPr>
      </w:pPr>
    </w:p>
    <w:p w14:paraId="176AEE73" w14:textId="77777777" w:rsidR="00F57781"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Uchwała o nowej emisji akcji z wyłączeniem prawa poboru, która jednocześnie przyznaje prawo pierwszeństwa</w:t>
      </w:r>
      <w:r w:rsidR="00F57781" w:rsidRPr="00F57781">
        <w:rPr>
          <w:rFonts w:ascii="Arial" w:hAnsi="Arial" w:cs="Arial"/>
          <w:color w:val="010302"/>
          <w:sz w:val="15"/>
          <w:szCs w:val="15"/>
          <w:lang w:val="pl-PL"/>
        </w:rPr>
        <w:t xml:space="preserve"> </w:t>
      </w:r>
      <w:r w:rsidRPr="00F57781">
        <w:rPr>
          <w:rFonts w:ascii="Arial" w:hAnsi="Arial" w:cs="Arial"/>
          <w:color w:val="010302"/>
          <w:sz w:val="15"/>
          <w:szCs w:val="15"/>
          <w:lang w:val="pl-PL"/>
        </w:rPr>
        <w:t>objęcia akcji nowej emisji wybranym akcjonariuszom lub innym podmiotom, może być podjęta, jeżeli spełnione są co</w:t>
      </w:r>
      <w:r w:rsidR="00F57781" w:rsidRPr="00F57781">
        <w:rPr>
          <w:rFonts w:ascii="Arial" w:hAnsi="Arial" w:cs="Arial"/>
          <w:color w:val="010302"/>
          <w:sz w:val="15"/>
          <w:szCs w:val="15"/>
          <w:lang w:val="pl-PL"/>
        </w:rPr>
        <w:t xml:space="preserve"> </w:t>
      </w:r>
      <w:r w:rsidRPr="00F57781">
        <w:rPr>
          <w:rFonts w:ascii="Arial" w:hAnsi="Arial" w:cs="Arial"/>
          <w:color w:val="010302"/>
          <w:sz w:val="15"/>
          <w:szCs w:val="15"/>
          <w:lang w:val="pl-PL"/>
        </w:rPr>
        <w:t>najmniej poniższe przesłanki:</w:t>
      </w:r>
    </w:p>
    <w:p w14:paraId="5797FD8B" w14:textId="71111157" w:rsidR="00F57781" w:rsidRDefault="001A3A7A" w:rsidP="00F57781">
      <w:pPr>
        <w:pStyle w:val="Akapitzlist"/>
        <w:numPr>
          <w:ilvl w:val="0"/>
          <w:numId w:val="10"/>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spółka ma racjonalną, uzasadnioną gospodarczo potrzebę pilnego pozyskania kapitału lub emisja akcji związana</w:t>
      </w:r>
      <w:r w:rsidR="00F57781">
        <w:rPr>
          <w:rFonts w:ascii="Arial" w:hAnsi="Arial" w:cs="Arial"/>
          <w:color w:val="010302"/>
          <w:sz w:val="15"/>
          <w:szCs w:val="15"/>
          <w:lang w:val="pl-PL"/>
        </w:rPr>
        <w:t xml:space="preserve"> </w:t>
      </w:r>
      <w:r w:rsidRPr="00F57781">
        <w:rPr>
          <w:rFonts w:ascii="Arial" w:hAnsi="Arial" w:cs="Arial"/>
          <w:color w:val="010302"/>
          <w:sz w:val="15"/>
          <w:szCs w:val="15"/>
          <w:lang w:val="pl-PL"/>
        </w:rPr>
        <w:t>jest z racjonalnymi, uzasadnionymi gospodarczo transakcjami, m.in. takimi jak łączenie się z inną spółką lub jej</w:t>
      </w:r>
      <w:r w:rsidR="00F57781">
        <w:rPr>
          <w:rFonts w:ascii="Arial" w:hAnsi="Arial" w:cs="Arial"/>
          <w:color w:val="010302"/>
          <w:sz w:val="15"/>
          <w:szCs w:val="15"/>
          <w:lang w:val="pl-PL"/>
        </w:rPr>
        <w:t xml:space="preserve"> </w:t>
      </w:r>
      <w:r w:rsidRPr="001A3A7A">
        <w:rPr>
          <w:rFonts w:ascii="Arial" w:hAnsi="Arial" w:cs="Arial"/>
          <w:color w:val="010302"/>
          <w:sz w:val="15"/>
          <w:szCs w:val="15"/>
          <w:lang w:val="pl-PL"/>
        </w:rPr>
        <w:t>przejęciem, lub też akcje mają zostać objęte w ramach przyjętego przez spółkę programu motywacyjnego;</w:t>
      </w:r>
      <w:r w:rsidR="00F57781">
        <w:rPr>
          <w:rFonts w:ascii="Arial" w:hAnsi="Arial" w:cs="Arial"/>
          <w:color w:val="010302"/>
          <w:sz w:val="15"/>
          <w:szCs w:val="15"/>
          <w:lang w:val="pl-PL"/>
        </w:rPr>
        <w:t xml:space="preserve"> </w:t>
      </w:r>
    </w:p>
    <w:p w14:paraId="278A331C" w14:textId="63DABC29" w:rsidR="001A3A7A" w:rsidRPr="00F57781" w:rsidRDefault="001A3A7A" w:rsidP="00F57781">
      <w:pPr>
        <w:pStyle w:val="Akapitzlist"/>
        <w:numPr>
          <w:ilvl w:val="0"/>
          <w:numId w:val="10"/>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osoby, którym przysługiwać będzie prawo pierwszeństwa, zostaną wskazane według obiektywnych kryteriów</w:t>
      </w:r>
      <w:r w:rsidR="00F57781">
        <w:rPr>
          <w:rFonts w:ascii="Arial" w:hAnsi="Arial" w:cs="Arial"/>
          <w:color w:val="010302"/>
          <w:sz w:val="15"/>
          <w:szCs w:val="15"/>
          <w:lang w:val="pl-PL"/>
        </w:rPr>
        <w:t xml:space="preserve"> </w:t>
      </w:r>
      <w:r w:rsidRPr="00F57781">
        <w:rPr>
          <w:rFonts w:ascii="Arial" w:hAnsi="Arial" w:cs="Arial"/>
          <w:color w:val="010302"/>
          <w:sz w:val="15"/>
          <w:szCs w:val="15"/>
          <w:lang w:val="pl-PL"/>
        </w:rPr>
        <w:t>ogólnych;</w:t>
      </w:r>
    </w:p>
    <w:p w14:paraId="16C29C30" w14:textId="5971549F" w:rsidR="001A3A7A" w:rsidRDefault="001A3A7A" w:rsidP="00F57781">
      <w:pPr>
        <w:pStyle w:val="Akapitzlist"/>
        <w:numPr>
          <w:ilvl w:val="0"/>
          <w:numId w:val="10"/>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cena objęcia akcji będzie pozostawać w racjonalnej relacji do bieżących notowań akcji tej spółki lub zostanie</w:t>
      </w:r>
      <w:r w:rsidR="00F57781">
        <w:rPr>
          <w:rFonts w:ascii="Arial" w:hAnsi="Arial" w:cs="Arial"/>
          <w:color w:val="010302"/>
          <w:sz w:val="15"/>
          <w:szCs w:val="15"/>
          <w:lang w:val="pl-PL"/>
        </w:rPr>
        <w:t xml:space="preserve"> </w:t>
      </w:r>
      <w:r w:rsidRPr="00F57781">
        <w:rPr>
          <w:rFonts w:ascii="Arial" w:hAnsi="Arial" w:cs="Arial"/>
          <w:color w:val="010302"/>
          <w:sz w:val="15"/>
          <w:szCs w:val="15"/>
          <w:lang w:val="pl-PL"/>
        </w:rPr>
        <w:t>ustalona w wyniku rynkowego procesu budowania księgi popytu.</w:t>
      </w:r>
    </w:p>
    <w:p w14:paraId="42EEA931" w14:textId="77777777" w:rsidR="001A3A7A" w:rsidRDefault="001A3A7A"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1A3A7A">
        <w:rPr>
          <w:rFonts w:ascii="Arial" w:hAnsi="Arial" w:cs="Arial"/>
          <w:color w:val="010302"/>
          <w:sz w:val="15"/>
          <w:szCs w:val="15"/>
          <w:lang w:val="pl-PL"/>
        </w:rPr>
        <w:t>.</w:t>
      </w:r>
    </w:p>
    <w:p w14:paraId="29879482" w14:textId="77777777" w:rsidR="00F57781" w:rsidRPr="001A3A7A" w:rsidRDefault="00F57781" w:rsidP="00F57781">
      <w:pPr>
        <w:pStyle w:val="Akapitzlist"/>
        <w:spacing w:line="204" w:lineRule="exact"/>
        <w:ind w:left="792" w:right="132"/>
        <w:jc w:val="both"/>
        <w:rPr>
          <w:rFonts w:ascii="Arial" w:hAnsi="Arial" w:cs="Arial"/>
          <w:color w:val="010302"/>
          <w:sz w:val="15"/>
          <w:szCs w:val="15"/>
          <w:lang w:val="pl-PL"/>
        </w:rPr>
      </w:pPr>
    </w:p>
    <w:p w14:paraId="45D51B2D" w14:textId="07CDC370" w:rsidR="001A3A7A" w:rsidRPr="00F57781" w:rsidRDefault="001A3A7A" w:rsidP="001A3A7A">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Spółka powinna dążyć do podziału zysku poprzez wypłatę dywidendy. Pozostawienie całości zysku w spółce jest</w:t>
      </w:r>
      <w:r w:rsidR="00F57781" w:rsidRPr="00F57781">
        <w:rPr>
          <w:rFonts w:ascii="Arial" w:hAnsi="Arial" w:cs="Arial"/>
          <w:color w:val="010302"/>
          <w:sz w:val="15"/>
          <w:szCs w:val="15"/>
          <w:lang w:val="pl-PL"/>
        </w:rPr>
        <w:t xml:space="preserve"> </w:t>
      </w:r>
      <w:r w:rsidRPr="00F57781">
        <w:rPr>
          <w:rFonts w:ascii="Arial" w:hAnsi="Arial" w:cs="Arial"/>
          <w:color w:val="010302"/>
          <w:sz w:val="15"/>
          <w:szCs w:val="15"/>
          <w:lang w:val="pl-PL"/>
        </w:rPr>
        <w:t>możliwe, jeżeli zachodzi którakolwiek z poniższych przyczyn:</w:t>
      </w:r>
    </w:p>
    <w:p w14:paraId="1B8061DF" w14:textId="6B2D68A3" w:rsidR="001A3A7A" w:rsidRPr="001A3A7A" w:rsidRDefault="001A3A7A" w:rsidP="00F57781">
      <w:pPr>
        <w:pStyle w:val="Akapitzlist"/>
        <w:numPr>
          <w:ilvl w:val="0"/>
          <w:numId w:val="1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wysokość tego zysku jest minimalna, a w konsekwencji dywidenda byłaby nieistotna w relacji do wartości akcji;</w:t>
      </w:r>
    </w:p>
    <w:p w14:paraId="2737574B" w14:textId="5185F4D3" w:rsidR="001A3A7A" w:rsidRPr="001A3A7A" w:rsidRDefault="001A3A7A" w:rsidP="00F57781">
      <w:pPr>
        <w:pStyle w:val="Akapitzlist"/>
        <w:numPr>
          <w:ilvl w:val="0"/>
          <w:numId w:val="1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spółka wykazuje niepokryte straty z lat ubiegłych, a zysk przeznaczony jest na ich zmniejszenie;</w:t>
      </w:r>
    </w:p>
    <w:p w14:paraId="111CA354" w14:textId="46694C87" w:rsidR="001A3A7A" w:rsidRPr="001A3A7A" w:rsidRDefault="001A3A7A" w:rsidP="00F57781">
      <w:pPr>
        <w:pStyle w:val="Akapitzlist"/>
        <w:numPr>
          <w:ilvl w:val="0"/>
          <w:numId w:val="1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spółka uzasadni, że przeznaczenie zysku na inwestycje przyniesie akcjonariuszom wymierne korzyści;</w:t>
      </w:r>
    </w:p>
    <w:p w14:paraId="12B28125" w14:textId="511A28DF" w:rsidR="001A3A7A" w:rsidRPr="001A3A7A" w:rsidRDefault="001A3A7A" w:rsidP="00F57781">
      <w:pPr>
        <w:pStyle w:val="Akapitzlist"/>
        <w:numPr>
          <w:ilvl w:val="0"/>
          <w:numId w:val="11"/>
        </w:numPr>
        <w:spacing w:line="204" w:lineRule="exact"/>
        <w:ind w:right="132"/>
        <w:jc w:val="both"/>
        <w:rPr>
          <w:rFonts w:ascii="Arial" w:hAnsi="Arial" w:cs="Arial"/>
          <w:color w:val="010302"/>
          <w:sz w:val="15"/>
          <w:szCs w:val="15"/>
          <w:lang w:val="pl-PL"/>
        </w:rPr>
      </w:pPr>
      <w:r w:rsidRPr="001A3A7A">
        <w:rPr>
          <w:rFonts w:ascii="Arial" w:hAnsi="Arial" w:cs="Arial"/>
          <w:color w:val="010302"/>
          <w:sz w:val="15"/>
          <w:szCs w:val="15"/>
          <w:lang w:val="pl-PL"/>
        </w:rPr>
        <w:t>spółka nie wygenerowała środków pieniężnych umożliwiających wypłatę dywidendy;</w:t>
      </w:r>
    </w:p>
    <w:p w14:paraId="5D462E15" w14:textId="5AF62ECD" w:rsidR="001A3A7A" w:rsidRPr="00F57781" w:rsidRDefault="001A3A7A" w:rsidP="00F57781">
      <w:pPr>
        <w:pStyle w:val="Akapitzlist"/>
        <w:numPr>
          <w:ilvl w:val="0"/>
          <w:numId w:val="1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 xml:space="preserve">wypłata dywidendy istotnie zwiększyłaby ryzyko naruszenia </w:t>
      </w:r>
      <w:proofErr w:type="spellStart"/>
      <w:r w:rsidRPr="00F57781">
        <w:rPr>
          <w:rFonts w:ascii="Arial" w:hAnsi="Arial" w:cs="Arial"/>
          <w:color w:val="010302"/>
          <w:sz w:val="15"/>
          <w:szCs w:val="15"/>
          <w:lang w:val="pl-PL"/>
        </w:rPr>
        <w:t>kowenantów</w:t>
      </w:r>
      <w:proofErr w:type="spellEnd"/>
      <w:r w:rsidRPr="00F57781">
        <w:rPr>
          <w:rFonts w:ascii="Arial" w:hAnsi="Arial" w:cs="Arial"/>
          <w:color w:val="010302"/>
          <w:sz w:val="15"/>
          <w:szCs w:val="15"/>
          <w:lang w:val="pl-PL"/>
        </w:rPr>
        <w:t xml:space="preserve"> wynikających z wiążących spółkę umów</w:t>
      </w:r>
      <w:r w:rsidR="00F57781" w:rsidRPr="00F57781">
        <w:rPr>
          <w:rFonts w:ascii="Arial" w:hAnsi="Arial" w:cs="Arial"/>
          <w:color w:val="010302"/>
          <w:sz w:val="15"/>
          <w:szCs w:val="15"/>
          <w:lang w:val="pl-PL"/>
        </w:rPr>
        <w:t xml:space="preserve"> </w:t>
      </w:r>
      <w:r w:rsidRPr="00F57781">
        <w:rPr>
          <w:rFonts w:ascii="Arial" w:hAnsi="Arial" w:cs="Arial"/>
          <w:color w:val="010302"/>
          <w:sz w:val="15"/>
          <w:szCs w:val="15"/>
          <w:lang w:val="pl-PL"/>
        </w:rPr>
        <w:t>kredytowych lub warunków emisji obligacji;</w:t>
      </w:r>
    </w:p>
    <w:p w14:paraId="31F77ECE" w14:textId="28C19161" w:rsidR="001A3A7A" w:rsidRPr="00F57781" w:rsidRDefault="001A3A7A" w:rsidP="00F57781">
      <w:pPr>
        <w:pStyle w:val="Akapitzlist"/>
        <w:numPr>
          <w:ilvl w:val="0"/>
          <w:numId w:val="1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lastRenderedPageBreak/>
        <w:t>pozostawienie zysku w spółce jest zgodne z rekomendacją instytucji sprawującej nadzór nad spółką z racji</w:t>
      </w:r>
      <w:r w:rsidR="00F57781" w:rsidRPr="00F57781">
        <w:rPr>
          <w:rFonts w:ascii="Arial" w:hAnsi="Arial" w:cs="Arial"/>
          <w:color w:val="010302"/>
          <w:sz w:val="15"/>
          <w:szCs w:val="15"/>
          <w:lang w:val="pl-PL"/>
        </w:rPr>
        <w:t xml:space="preserve"> </w:t>
      </w:r>
      <w:r w:rsidRPr="00F57781">
        <w:rPr>
          <w:rFonts w:ascii="Arial" w:hAnsi="Arial" w:cs="Arial"/>
          <w:color w:val="010302"/>
          <w:sz w:val="15"/>
          <w:szCs w:val="15"/>
          <w:lang w:val="pl-PL"/>
        </w:rPr>
        <w:t>prowadzenia przez nią określonego rodzaju działalności.</w:t>
      </w:r>
    </w:p>
    <w:p w14:paraId="6E3C49A6" w14:textId="77777777" w:rsidR="00B67244" w:rsidRDefault="001A3A7A" w:rsidP="00F57781">
      <w:pPr>
        <w:pStyle w:val="Akapitzlist"/>
        <w:spacing w:line="204" w:lineRule="exact"/>
        <w:ind w:left="792" w:right="132"/>
        <w:jc w:val="both"/>
        <w:rPr>
          <w:rFonts w:ascii="Arial" w:hAnsi="Arial" w:cs="Arial"/>
          <w:i/>
          <w:iCs/>
          <w:color w:val="010302"/>
          <w:sz w:val="15"/>
          <w:szCs w:val="15"/>
          <w:u w:val="single"/>
          <w:lang w:val="pl-PL"/>
        </w:rPr>
      </w:pPr>
      <w:r w:rsidRPr="00F57781">
        <w:rPr>
          <w:rFonts w:ascii="Arial" w:hAnsi="Arial" w:cs="Arial"/>
          <w:i/>
          <w:iCs/>
          <w:color w:val="010302"/>
          <w:sz w:val="15"/>
          <w:szCs w:val="15"/>
          <w:u w:val="single"/>
          <w:lang w:val="pl-PL"/>
        </w:rPr>
        <w:t>Zasada jest stosowana.</w:t>
      </w:r>
    </w:p>
    <w:p w14:paraId="1AE49A6D" w14:textId="77777777" w:rsidR="00B67244" w:rsidRDefault="00B67244" w:rsidP="00F57781">
      <w:pPr>
        <w:pStyle w:val="Akapitzlist"/>
        <w:spacing w:line="204" w:lineRule="exact"/>
        <w:ind w:left="792" w:right="132"/>
        <w:jc w:val="both"/>
        <w:rPr>
          <w:rFonts w:ascii="Arial" w:hAnsi="Arial" w:cs="Arial"/>
          <w:i/>
          <w:iCs/>
          <w:color w:val="010302"/>
          <w:sz w:val="15"/>
          <w:szCs w:val="15"/>
          <w:u w:val="single"/>
          <w:lang w:val="pl-PL"/>
        </w:rPr>
      </w:pPr>
    </w:p>
    <w:p w14:paraId="5148A84D" w14:textId="4F0519DE" w:rsidR="001A3A7A" w:rsidRDefault="001A3A7A" w:rsidP="00F57781">
      <w:pPr>
        <w:pStyle w:val="Akapitzlist"/>
        <w:spacing w:line="204" w:lineRule="exact"/>
        <w:ind w:left="792" w:right="132"/>
        <w:jc w:val="both"/>
        <w:rPr>
          <w:rFonts w:ascii="Arial" w:hAnsi="Arial" w:cs="Arial"/>
          <w:i/>
          <w:iCs/>
          <w:color w:val="010302"/>
          <w:sz w:val="15"/>
          <w:szCs w:val="15"/>
          <w:u w:val="single"/>
          <w:lang w:val="pl-PL"/>
        </w:rPr>
      </w:pPr>
    </w:p>
    <w:p w14:paraId="16759DB9" w14:textId="77777777" w:rsidR="00F57781" w:rsidRDefault="00F57781" w:rsidP="00F57781">
      <w:pPr>
        <w:pStyle w:val="Akapitzlist"/>
        <w:spacing w:line="204" w:lineRule="exact"/>
        <w:ind w:left="792" w:right="132"/>
        <w:jc w:val="both"/>
        <w:rPr>
          <w:rFonts w:ascii="Arial" w:hAnsi="Arial" w:cs="Arial"/>
          <w:i/>
          <w:iCs/>
          <w:color w:val="010302"/>
          <w:sz w:val="15"/>
          <w:szCs w:val="15"/>
          <w:u w:val="single"/>
          <w:lang w:val="pl-PL"/>
        </w:rPr>
      </w:pPr>
    </w:p>
    <w:p w14:paraId="15DCECB2" w14:textId="77777777" w:rsidR="00F57781" w:rsidRDefault="00F57781" w:rsidP="00F57781">
      <w:pPr>
        <w:pStyle w:val="Akapitzlist"/>
        <w:spacing w:line="204" w:lineRule="exact"/>
        <w:ind w:left="792" w:right="132"/>
        <w:jc w:val="both"/>
        <w:rPr>
          <w:rFonts w:ascii="Arial" w:hAnsi="Arial" w:cs="Arial"/>
          <w:i/>
          <w:iCs/>
          <w:color w:val="010302"/>
          <w:sz w:val="15"/>
          <w:szCs w:val="15"/>
          <w:u w:val="single"/>
          <w:lang w:val="pl-PL"/>
        </w:rPr>
      </w:pPr>
    </w:p>
    <w:p w14:paraId="2809B17F" w14:textId="20ECECAC" w:rsidR="00F57781" w:rsidRDefault="00F57781" w:rsidP="00F57781">
      <w:pPr>
        <w:pStyle w:val="Akapitzlist"/>
        <w:numPr>
          <w:ilvl w:val="0"/>
          <w:numId w:val="1"/>
        </w:numPr>
        <w:ind w:left="0" w:firstLine="0"/>
        <w:rPr>
          <w:rFonts w:ascii="Arial" w:hAnsi="Arial" w:cs="Arial"/>
          <w:b/>
          <w:bCs/>
          <w:lang w:val="pl-PL"/>
        </w:rPr>
      </w:pPr>
      <w:r w:rsidRPr="00F57781">
        <w:rPr>
          <w:rFonts w:ascii="Arial" w:hAnsi="Arial" w:cs="Arial"/>
          <w:b/>
          <w:bCs/>
          <w:lang w:val="pl-PL"/>
        </w:rPr>
        <w:t>KONFLIKT INTERESÓW I TRANSAKCJE Z PODMIOTAMI POWIĄZANYMI</w:t>
      </w:r>
    </w:p>
    <w:p w14:paraId="0A9E9F49" w14:textId="77777777" w:rsidR="00F57781" w:rsidRDefault="00F57781" w:rsidP="00F57781">
      <w:pPr>
        <w:rPr>
          <w:rFonts w:ascii="Arial" w:hAnsi="Arial" w:cs="Arial"/>
          <w:b/>
          <w:bCs/>
          <w:lang w:val="pl-PL"/>
        </w:rPr>
      </w:pPr>
    </w:p>
    <w:p w14:paraId="1F2C1F61" w14:textId="77777777" w:rsidR="00F57781" w:rsidRDefault="00F57781" w:rsidP="00F57781">
      <w:pPr>
        <w:rPr>
          <w:rFonts w:ascii="Arial" w:hAnsi="Arial" w:cs="Arial"/>
          <w:b/>
          <w:bCs/>
          <w:lang w:val="pl-PL"/>
        </w:rPr>
      </w:pPr>
    </w:p>
    <w:p w14:paraId="79DCBA7E" w14:textId="3233575A" w:rsidR="00F57781" w:rsidRPr="00F57781" w:rsidRDefault="00F57781" w:rsidP="00F57781">
      <w:pPr>
        <w:jc w:val="both"/>
        <w:rPr>
          <w:rFonts w:ascii="Arial" w:hAnsi="Arial" w:cs="Arial"/>
          <w:b/>
          <w:bCs/>
          <w:color w:val="010302"/>
          <w:sz w:val="15"/>
          <w:szCs w:val="15"/>
          <w:lang w:val="pl-PL"/>
        </w:rPr>
      </w:pPr>
      <w:r w:rsidRPr="00F57781">
        <w:rPr>
          <w:rFonts w:ascii="Arial" w:hAnsi="Arial" w:cs="Arial"/>
          <w:b/>
          <w:bCs/>
          <w:color w:val="010302"/>
          <w:sz w:val="15"/>
          <w:szCs w:val="15"/>
          <w:lang w:val="pl-PL"/>
        </w:rPr>
        <w:t>Na potrzeby niniejszego rozdziału podmiotem powiązanym jest podmiot powiązany w rozumieniu</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międzynarodowych standardów rachunkowości przyjętych na podstawie rozporządzenia (WE) nr 1606/2002</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Parlamentu Europejskiego i Rady z dnia 19 lipca 2002 r. w sprawie stosowania międzynarodowych standardów</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rachunkowości.</w:t>
      </w:r>
    </w:p>
    <w:p w14:paraId="520CBD1D" w14:textId="77777777" w:rsidR="00F57781" w:rsidRDefault="00F57781" w:rsidP="00F57781">
      <w:pPr>
        <w:jc w:val="both"/>
        <w:rPr>
          <w:rFonts w:ascii="Arial" w:hAnsi="Arial" w:cs="Arial"/>
          <w:b/>
          <w:bCs/>
          <w:color w:val="010302"/>
          <w:sz w:val="15"/>
          <w:szCs w:val="15"/>
          <w:lang w:val="pl-PL"/>
        </w:rPr>
      </w:pPr>
    </w:p>
    <w:p w14:paraId="0A44FC01" w14:textId="0A89584A" w:rsidR="00F57781" w:rsidRDefault="00F57781" w:rsidP="00F57781">
      <w:pPr>
        <w:jc w:val="both"/>
        <w:rPr>
          <w:rFonts w:ascii="Arial" w:hAnsi="Arial" w:cs="Arial"/>
          <w:b/>
          <w:bCs/>
          <w:color w:val="010302"/>
          <w:sz w:val="15"/>
          <w:szCs w:val="15"/>
          <w:lang w:val="pl-PL"/>
        </w:rPr>
      </w:pPr>
      <w:r w:rsidRPr="00F57781">
        <w:rPr>
          <w:rFonts w:ascii="Arial" w:hAnsi="Arial" w:cs="Arial"/>
          <w:b/>
          <w:bCs/>
          <w:color w:val="010302"/>
          <w:sz w:val="15"/>
          <w:szCs w:val="15"/>
          <w:lang w:val="pl-PL"/>
        </w:rPr>
        <w:t>Spółka i jej grupa powinny posiadać przejrzyste procedury zarządzania konfliktami interesów i zawierania</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transakcji z podmiotami powiązanymi w warunkach możliwości wystąpienia konfliktu interesów. Procedury</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powinny przewidywać sposoby identyfikacji takich sytuacji, ich ujawniania oraz sposoby postępowania w</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przypadku ich wystąpienia.</w:t>
      </w:r>
    </w:p>
    <w:p w14:paraId="7BB93092" w14:textId="77777777" w:rsidR="00F57781" w:rsidRPr="00F57781" w:rsidRDefault="00F57781" w:rsidP="00F57781">
      <w:pPr>
        <w:jc w:val="both"/>
        <w:rPr>
          <w:rFonts w:ascii="Arial" w:hAnsi="Arial" w:cs="Arial"/>
          <w:b/>
          <w:bCs/>
          <w:color w:val="010302"/>
          <w:sz w:val="15"/>
          <w:szCs w:val="15"/>
          <w:lang w:val="pl-PL"/>
        </w:rPr>
      </w:pPr>
    </w:p>
    <w:p w14:paraId="2F4820F4" w14:textId="2DFCFB9C" w:rsidR="00F57781" w:rsidRDefault="00F57781" w:rsidP="00F57781">
      <w:pPr>
        <w:jc w:val="both"/>
        <w:rPr>
          <w:rFonts w:ascii="Arial" w:hAnsi="Arial" w:cs="Arial"/>
          <w:b/>
          <w:bCs/>
          <w:color w:val="010302"/>
          <w:sz w:val="15"/>
          <w:szCs w:val="15"/>
          <w:lang w:val="pl-PL"/>
        </w:rPr>
      </w:pPr>
      <w:r w:rsidRPr="00F57781">
        <w:rPr>
          <w:rFonts w:ascii="Arial" w:hAnsi="Arial" w:cs="Arial"/>
          <w:b/>
          <w:bCs/>
          <w:color w:val="010302"/>
          <w:sz w:val="15"/>
          <w:szCs w:val="15"/>
          <w:lang w:val="pl-PL"/>
        </w:rPr>
        <w:t>Członek zarządu lub rady nadzorczej powinien unikać podejmowania aktywności zawodowej lub pozazawodowej,</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która mogłaby prowadzić do powstawania konfliktu interesów lub wpływać negatywnie na jego reputację jako</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członka organu spółki, a w przypadku powstania konfliktu interesów powinien niezwłocznie go ujawnić.</w:t>
      </w:r>
    </w:p>
    <w:p w14:paraId="011A0E7C" w14:textId="77777777" w:rsidR="00F57781" w:rsidRDefault="00F57781" w:rsidP="00F57781">
      <w:pPr>
        <w:jc w:val="both"/>
        <w:rPr>
          <w:rFonts w:ascii="Arial" w:hAnsi="Arial" w:cs="Arial"/>
          <w:b/>
          <w:bCs/>
          <w:color w:val="010302"/>
          <w:sz w:val="15"/>
          <w:szCs w:val="15"/>
          <w:lang w:val="pl-PL"/>
        </w:rPr>
      </w:pPr>
    </w:p>
    <w:p w14:paraId="280FB44D" w14:textId="77777777" w:rsidR="00F57781" w:rsidRDefault="00F57781" w:rsidP="00F57781">
      <w:pPr>
        <w:jc w:val="both"/>
        <w:rPr>
          <w:rFonts w:ascii="Arial" w:hAnsi="Arial" w:cs="Arial"/>
          <w:b/>
          <w:bCs/>
          <w:color w:val="010302"/>
          <w:sz w:val="15"/>
          <w:szCs w:val="15"/>
          <w:lang w:val="pl-PL"/>
        </w:rPr>
      </w:pPr>
    </w:p>
    <w:p w14:paraId="65F5D625" w14:textId="77777777" w:rsidR="00F57781" w:rsidRDefault="00F57781" w:rsidP="00F57781">
      <w:pPr>
        <w:jc w:val="both"/>
        <w:rPr>
          <w:rFonts w:ascii="Arial" w:hAnsi="Arial" w:cs="Arial"/>
          <w:b/>
          <w:bCs/>
          <w:color w:val="010302"/>
          <w:sz w:val="15"/>
          <w:szCs w:val="15"/>
          <w:lang w:val="pl-PL"/>
        </w:rPr>
      </w:pPr>
    </w:p>
    <w:p w14:paraId="6638A0C0" w14:textId="058B928A" w:rsidR="00F57781" w:rsidRP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Członek zarządu lub rady nadzorczej informuje odpowiednio zarząd lub radę nadzorczą o zaistniałym konflikcie interesów lub możliwości jego powstania oraz nie bierze udziału w rozpatrywaniu sprawy, w której w stosunku do jego osoby może wystąpić konflikt interesów.</w:t>
      </w:r>
    </w:p>
    <w:p w14:paraId="257BC6EF" w14:textId="77777777"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22A60A43"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55823C1D"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 xml:space="preserve">W przypadku uznania przez członka zarządu lub rady nadzorczej, że decyzja, odpowiednio zarządu lub rady nadzorczej, stoi w sprzeczności z interesem spółki, powinien zażądać zamieszczenia w protokole posiedzenia zarządu lub rady nadzorczej jego zdania odrębnego w tej sprawie. </w:t>
      </w:r>
    </w:p>
    <w:p w14:paraId="7463EC22" w14:textId="31D50DE1"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0F868A2F"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41FFFA05" w14:textId="56B1B0FD" w:rsidR="00F57781" w:rsidRP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Żaden akcjonariusz nie powinien być uprzywilejowany w stosunku do pozostałych akcjonariuszy w zakresie transakcji z podmiotami powiązanymi. Dotyczy to także transakcji akcjonariuszy spółki zawieranych z podmiotami należącymi do jej grupy.</w:t>
      </w:r>
    </w:p>
    <w:p w14:paraId="14275CAC" w14:textId="77777777"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1835E4F3"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00F15A9E"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Spółka może nabywać akcje własne (</w:t>
      </w:r>
      <w:proofErr w:type="spellStart"/>
      <w:r w:rsidRPr="00F57781">
        <w:rPr>
          <w:rFonts w:ascii="Arial" w:hAnsi="Arial" w:cs="Arial"/>
          <w:color w:val="010302"/>
          <w:sz w:val="15"/>
          <w:szCs w:val="15"/>
          <w:lang w:val="pl-PL"/>
        </w:rPr>
        <w:t>buy-back</w:t>
      </w:r>
      <w:proofErr w:type="spellEnd"/>
      <w:r w:rsidRPr="00F57781">
        <w:rPr>
          <w:rFonts w:ascii="Arial" w:hAnsi="Arial" w:cs="Arial"/>
          <w:color w:val="010302"/>
          <w:sz w:val="15"/>
          <w:szCs w:val="15"/>
          <w:lang w:val="pl-PL"/>
        </w:rPr>
        <w:t>) wyłącznie w takim trybie, w którym poszanowane są prawa wszystkich akcjonariuszy.</w:t>
      </w:r>
      <w:r>
        <w:rPr>
          <w:rFonts w:ascii="Arial" w:hAnsi="Arial" w:cs="Arial"/>
          <w:color w:val="010302"/>
          <w:sz w:val="15"/>
          <w:szCs w:val="15"/>
          <w:lang w:val="pl-PL"/>
        </w:rPr>
        <w:t xml:space="preserve"> </w:t>
      </w:r>
    </w:p>
    <w:p w14:paraId="0EE6ED55" w14:textId="2B373B79"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6E04AAA9"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05A5C142"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 xml:space="preserve">W przypadku gdy transakcja spółki z podmiotem powiązanym wymaga zgody rady nadzorczej, przed podjęciem uchwały w sprawie wyrażenia zgody rada ocenia, czy istnieje konieczność uprzedniego zasięgnięcia opinii podmiotu zewnętrznego, który przeprowadzi wycenę transakcji oraz analizę jej skutków ekonomicznych. </w:t>
      </w:r>
    </w:p>
    <w:p w14:paraId="4325C191" w14:textId="33EC2720" w:rsidR="00F57781" w:rsidRDefault="00F57781" w:rsidP="00F57781">
      <w:pPr>
        <w:pStyle w:val="Akapitzlist"/>
        <w:spacing w:line="204" w:lineRule="exact"/>
        <w:ind w:left="792" w:right="132"/>
        <w:jc w:val="both"/>
        <w:rPr>
          <w:rFonts w:ascii="Arial" w:hAnsi="Arial" w:cs="Arial"/>
          <w:i/>
          <w:iCs/>
          <w:color w:val="010302"/>
          <w:sz w:val="15"/>
          <w:szCs w:val="15"/>
          <w:u w:val="single"/>
          <w:lang w:val="pl-PL"/>
        </w:rPr>
      </w:pPr>
      <w:r w:rsidRPr="00F57781">
        <w:rPr>
          <w:rFonts w:ascii="Arial" w:hAnsi="Arial" w:cs="Arial"/>
          <w:i/>
          <w:iCs/>
          <w:color w:val="010302"/>
          <w:sz w:val="15"/>
          <w:szCs w:val="15"/>
          <w:u w:val="single"/>
          <w:lang w:val="pl-PL"/>
        </w:rPr>
        <w:t>Zasada jest stosowana.</w:t>
      </w:r>
    </w:p>
    <w:p w14:paraId="40F0E0C7"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6FA16183" w14:textId="7C5F8C7F" w:rsidR="00F57781" w:rsidRP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Jeżeli zawarcie transakcji z podmiotem powiązanym wymaga zgody walnego zgromadzenia, rada nadzorcza sporządza opinię na temat zasadności zawarcia takiej transakcji. W takim przypadku rada ocenia konieczność uprzedniego zasięgnięcia opinii podmiotu zewnętrznego, o której mowa w zasadzie 5.5.</w:t>
      </w:r>
    </w:p>
    <w:p w14:paraId="1D26D32E" w14:textId="77777777"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5B8D17F1"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543738F9" w14:textId="7FD97D4B" w:rsidR="00F57781" w:rsidRP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W przypadku gdy decyzję w sprawie zawarcia przez spółkę istotnej transakcji z podmiotem powiązanym podejmuje walne zgromadzenie, przed podjęciem takiej decyzji spółka zapewnia wszystkim akcjonariuszom dostęp do informacji niezbędnych do dokonania oceny wpływu tej transakcji na interes spółki, w tym przedstawia opinię rady nadzorczej, o której mowa w zasadzie 5.6.</w:t>
      </w:r>
    </w:p>
    <w:p w14:paraId="637F4A8D" w14:textId="65919C5E"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42398D26" w14:textId="77777777" w:rsidR="00F57781" w:rsidRDefault="00F57781" w:rsidP="00F57781">
      <w:pPr>
        <w:pStyle w:val="Akapitzlist"/>
        <w:spacing w:line="204" w:lineRule="exact"/>
        <w:ind w:left="792" w:right="132"/>
        <w:jc w:val="both"/>
        <w:rPr>
          <w:rFonts w:ascii="Arial" w:hAnsi="Arial" w:cs="Arial"/>
          <w:sz w:val="15"/>
          <w:szCs w:val="15"/>
          <w:lang w:val="pl-PL"/>
        </w:rPr>
      </w:pPr>
    </w:p>
    <w:p w14:paraId="5EE135BA" w14:textId="77777777" w:rsidR="00F57781" w:rsidRDefault="00F57781" w:rsidP="00F57781">
      <w:pPr>
        <w:pStyle w:val="Akapitzlist"/>
        <w:spacing w:line="204" w:lineRule="exact"/>
        <w:ind w:left="792" w:right="132"/>
        <w:jc w:val="both"/>
        <w:rPr>
          <w:rFonts w:ascii="Arial" w:hAnsi="Arial" w:cs="Arial"/>
          <w:sz w:val="15"/>
          <w:szCs w:val="15"/>
          <w:lang w:val="pl-PL"/>
        </w:rPr>
      </w:pPr>
    </w:p>
    <w:p w14:paraId="545F6826" w14:textId="77777777" w:rsidR="00F57781" w:rsidRDefault="00F57781" w:rsidP="00F57781">
      <w:pPr>
        <w:pStyle w:val="Akapitzlist"/>
        <w:spacing w:line="204" w:lineRule="exact"/>
        <w:ind w:left="792" w:right="132"/>
        <w:jc w:val="both"/>
        <w:rPr>
          <w:rFonts w:ascii="Arial" w:hAnsi="Arial" w:cs="Arial"/>
          <w:sz w:val="15"/>
          <w:szCs w:val="15"/>
          <w:lang w:val="pl-PL"/>
        </w:rPr>
      </w:pPr>
    </w:p>
    <w:p w14:paraId="04A45CDB" w14:textId="77777777" w:rsidR="00F57781" w:rsidRDefault="00F57781">
      <w:pPr>
        <w:widowControl/>
        <w:spacing w:after="160" w:line="259" w:lineRule="auto"/>
        <w:rPr>
          <w:rFonts w:ascii="Arial" w:hAnsi="Arial" w:cs="Arial"/>
          <w:b/>
          <w:bCs/>
          <w:lang w:val="pl-PL"/>
        </w:rPr>
      </w:pPr>
      <w:r>
        <w:rPr>
          <w:rFonts w:ascii="Arial" w:hAnsi="Arial" w:cs="Arial"/>
          <w:b/>
          <w:bCs/>
          <w:lang w:val="pl-PL"/>
        </w:rPr>
        <w:br w:type="page"/>
      </w:r>
    </w:p>
    <w:p w14:paraId="66E8BE28" w14:textId="0409BD00" w:rsidR="00F57781" w:rsidRDefault="00F57781" w:rsidP="00F57781">
      <w:pPr>
        <w:pStyle w:val="Akapitzlist"/>
        <w:numPr>
          <w:ilvl w:val="0"/>
          <w:numId w:val="1"/>
        </w:numPr>
        <w:ind w:left="0" w:firstLine="0"/>
        <w:rPr>
          <w:rFonts w:ascii="Arial" w:hAnsi="Arial" w:cs="Arial"/>
          <w:b/>
          <w:bCs/>
          <w:lang w:val="pl-PL"/>
        </w:rPr>
      </w:pPr>
      <w:r>
        <w:rPr>
          <w:rFonts w:ascii="Arial" w:hAnsi="Arial" w:cs="Arial"/>
          <w:b/>
          <w:bCs/>
          <w:lang w:val="pl-PL"/>
        </w:rPr>
        <w:lastRenderedPageBreak/>
        <w:t>WYNAGRODZENIA</w:t>
      </w:r>
    </w:p>
    <w:p w14:paraId="5B8D4C1D" w14:textId="77777777" w:rsidR="00F57781" w:rsidRDefault="00F57781" w:rsidP="00F57781">
      <w:pPr>
        <w:rPr>
          <w:rFonts w:ascii="Arial" w:hAnsi="Arial" w:cs="Arial"/>
          <w:b/>
          <w:bCs/>
          <w:lang w:val="pl-PL"/>
        </w:rPr>
      </w:pPr>
    </w:p>
    <w:p w14:paraId="3B50EAA0" w14:textId="77777777" w:rsidR="00F57781" w:rsidRDefault="00F57781" w:rsidP="00F57781">
      <w:pPr>
        <w:rPr>
          <w:rFonts w:ascii="Arial" w:hAnsi="Arial" w:cs="Arial"/>
          <w:b/>
          <w:bCs/>
          <w:lang w:val="pl-PL"/>
        </w:rPr>
      </w:pPr>
    </w:p>
    <w:p w14:paraId="71584125" w14:textId="465FA750" w:rsidR="00F57781" w:rsidRDefault="00F57781" w:rsidP="00F57781">
      <w:pPr>
        <w:jc w:val="both"/>
        <w:rPr>
          <w:rFonts w:ascii="Arial" w:hAnsi="Arial" w:cs="Arial"/>
          <w:b/>
          <w:bCs/>
          <w:color w:val="010302"/>
          <w:sz w:val="15"/>
          <w:szCs w:val="15"/>
          <w:lang w:val="pl-PL"/>
        </w:rPr>
      </w:pPr>
      <w:r w:rsidRPr="00F57781">
        <w:rPr>
          <w:rFonts w:ascii="Arial" w:hAnsi="Arial" w:cs="Arial"/>
          <w:b/>
          <w:bCs/>
          <w:color w:val="010302"/>
          <w:sz w:val="15"/>
          <w:szCs w:val="15"/>
          <w:lang w:val="pl-PL"/>
        </w:rPr>
        <w:t>Spółka i jej grupa dbają o stabilność kadry zarządzającej, między innymi poprzez przejrzyste, sprawiedliwe, spójne</w:t>
      </w:r>
      <w:r>
        <w:rPr>
          <w:rFonts w:ascii="Arial" w:hAnsi="Arial" w:cs="Arial"/>
          <w:b/>
          <w:bCs/>
          <w:color w:val="010302"/>
          <w:sz w:val="15"/>
          <w:szCs w:val="15"/>
          <w:lang w:val="pl-PL"/>
        </w:rPr>
        <w:t xml:space="preserve"> </w:t>
      </w:r>
      <w:r w:rsidRPr="00F57781">
        <w:rPr>
          <w:rFonts w:ascii="Arial" w:hAnsi="Arial" w:cs="Arial"/>
          <w:b/>
          <w:bCs/>
          <w:color w:val="010302"/>
          <w:sz w:val="15"/>
          <w:szCs w:val="15"/>
          <w:lang w:val="pl-PL"/>
        </w:rPr>
        <w:t>i</w:t>
      </w:r>
      <w:r>
        <w:rPr>
          <w:rFonts w:ascii="Arial" w:hAnsi="Arial" w:cs="Arial"/>
          <w:b/>
          <w:bCs/>
          <w:color w:val="010302"/>
          <w:sz w:val="15"/>
          <w:szCs w:val="15"/>
          <w:lang w:val="pl-PL"/>
        </w:rPr>
        <w:t> n</w:t>
      </w:r>
      <w:r w:rsidRPr="00F57781">
        <w:rPr>
          <w:rFonts w:ascii="Arial" w:hAnsi="Arial" w:cs="Arial"/>
          <w:b/>
          <w:bCs/>
          <w:color w:val="010302"/>
          <w:sz w:val="15"/>
          <w:szCs w:val="15"/>
          <w:lang w:val="pl-PL"/>
        </w:rPr>
        <w:t>iedyskryminujące zasady jej wynagradzania, przejawiające się m.in. równością płac kobiet i mężczyzn.</w:t>
      </w:r>
    </w:p>
    <w:p w14:paraId="08CE0CA1" w14:textId="77777777" w:rsidR="00F57781" w:rsidRDefault="00F57781" w:rsidP="00F57781">
      <w:pPr>
        <w:rPr>
          <w:rFonts w:ascii="Arial" w:hAnsi="Arial" w:cs="Arial"/>
          <w:b/>
          <w:bCs/>
          <w:color w:val="010302"/>
          <w:sz w:val="15"/>
          <w:szCs w:val="15"/>
          <w:lang w:val="pl-PL"/>
        </w:rPr>
      </w:pPr>
    </w:p>
    <w:p w14:paraId="6C5F7EB3" w14:textId="77777777" w:rsidR="00F57781" w:rsidRPr="00F57781" w:rsidRDefault="00F57781" w:rsidP="00F57781">
      <w:pPr>
        <w:rPr>
          <w:rFonts w:ascii="Arial" w:hAnsi="Arial" w:cs="Arial"/>
          <w:b/>
          <w:bCs/>
          <w:color w:val="010302"/>
          <w:sz w:val="15"/>
          <w:szCs w:val="15"/>
          <w:lang w:val="pl-PL"/>
        </w:rPr>
      </w:pPr>
    </w:p>
    <w:p w14:paraId="517C5571" w14:textId="35FA7A57" w:rsidR="00F57781" w:rsidRDefault="00F57781" w:rsidP="00F57781">
      <w:pPr>
        <w:jc w:val="both"/>
        <w:rPr>
          <w:rFonts w:ascii="Arial" w:hAnsi="Arial" w:cs="Arial"/>
          <w:b/>
          <w:bCs/>
          <w:color w:val="010302"/>
          <w:sz w:val="15"/>
          <w:szCs w:val="15"/>
          <w:lang w:val="pl-PL"/>
        </w:rPr>
      </w:pPr>
      <w:r w:rsidRPr="00F57781">
        <w:rPr>
          <w:rFonts w:ascii="Arial" w:hAnsi="Arial" w:cs="Arial"/>
          <w:b/>
          <w:bCs/>
          <w:color w:val="010302"/>
          <w:sz w:val="15"/>
          <w:szCs w:val="15"/>
          <w:lang w:val="pl-PL"/>
        </w:rPr>
        <w:t>Przyjęta w spółce polityka wynagrodzeń członków organów spółki i jej kluczowych menedżerów określa w</w:t>
      </w:r>
      <w:r>
        <w:rPr>
          <w:rFonts w:ascii="Arial" w:hAnsi="Arial" w:cs="Arial"/>
          <w:b/>
          <w:bCs/>
          <w:color w:val="010302"/>
          <w:sz w:val="15"/>
          <w:szCs w:val="15"/>
          <w:lang w:val="pl-PL"/>
        </w:rPr>
        <w:t> </w:t>
      </w:r>
      <w:r w:rsidRPr="00F57781">
        <w:rPr>
          <w:rFonts w:ascii="Arial" w:hAnsi="Arial" w:cs="Arial"/>
          <w:b/>
          <w:bCs/>
          <w:color w:val="010302"/>
          <w:sz w:val="15"/>
          <w:szCs w:val="15"/>
          <w:lang w:val="pl-PL"/>
        </w:rPr>
        <w:t>szczególności formę, strukturę, sposób ustalania i wypłaty wynagrodzeń.</w:t>
      </w:r>
    </w:p>
    <w:p w14:paraId="1DB41672" w14:textId="77777777" w:rsidR="00F57781" w:rsidRDefault="00F57781" w:rsidP="00F57781">
      <w:pPr>
        <w:jc w:val="both"/>
        <w:rPr>
          <w:rFonts w:ascii="Arial" w:hAnsi="Arial" w:cs="Arial"/>
          <w:b/>
          <w:bCs/>
          <w:color w:val="010302"/>
          <w:sz w:val="15"/>
          <w:szCs w:val="15"/>
          <w:lang w:val="pl-PL"/>
        </w:rPr>
      </w:pPr>
    </w:p>
    <w:p w14:paraId="10D29053" w14:textId="77777777" w:rsidR="00F57781" w:rsidRDefault="00F57781" w:rsidP="00F57781">
      <w:pPr>
        <w:jc w:val="both"/>
        <w:rPr>
          <w:rFonts w:ascii="Arial" w:hAnsi="Arial" w:cs="Arial"/>
          <w:b/>
          <w:bCs/>
          <w:color w:val="010302"/>
          <w:sz w:val="15"/>
          <w:szCs w:val="15"/>
          <w:lang w:val="pl-PL"/>
        </w:rPr>
      </w:pPr>
    </w:p>
    <w:p w14:paraId="471624EE" w14:textId="77777777" w:rsidR="00F57781" w:rsidRPr="00F57781" w:rsidRDefault="00F57781" w:rsidP="00F57781">
      <w:pPr>
        <w:jc w:val="both"/>
        <w:rPr>
          <w:rFonts w:ascii="Arial" w:hAnsi="Arial" w:cs="Arial"/>
          <w:b/>
          <w:bCs/>
          <w:color w:val="010302"/>
          <w:sz w:val="15"/>
          <w:szCs w:val="15"/>
          <w:lang w:val="pl-PL"/>
        </w:rPr>
      </w:pPr>
    </w:p>
    <w:p w14:paraId="0EEA4A10"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 xml:space="preserve">Wynagrodzenie członków zarządu i rady nadzorczej oraz kluczowych menedżerów powinno być wystarczające dla pozyskania, utrzymania i motywacji osób o kompetencjach niezbędnych dla właściwego kierowania spółką i sprawowania nad nią nadzoru. Wysokość wynagrodzenia powinna być adekwatna do zadań i obowiązków wykonywanych przez poszczególne osoby i związanej z tym odpowiedzialności. </w:t>
      </w:r>
    </w:p>
    <w:p w14:paraId="68D3B3F8" w14:textId="13AA7F82"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135E665B"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5C2CC1F2"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 xml:space="preserve">Programy motywacyjne powinny być tak skonstruowane, by między innymi uzależniały poziom wynagrodzenia członków zarządu spółki i jej kluczowych menedżerów od rzeczywistej, długoterminowej sytuacji spółki w zakresie wyników finansowych i niefinansowych oraz długoterminowego wzrostu wartości dla akcjonariuszy i zrównoważonego rozwoju, a także stabilności funkcjonowania spółki. </w:t>
      </w:r>
    </w:p>
    <w:p w14:paraId="68C0CFBE" w14:textId="57686D0F"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333F9E20"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31127612"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 xml:space="preserve">Jeżeli w spółce jednym z programów motywacyjnych jest program opcji menedżerskich, wówczas realizacja programu opcji winna być uzależniona od spełnienia przez uprawnionych, w przeciągu co najmniej 3 lat, z góry wyznaczonych, realnych i odpowiednich dla spółki celów finansowych i niefinansowych oraz zrównoważonego rozwoju, a ustalona cena nabycia przez uprawnionych akcji lub rozliczenia opcji nie może odbiegać od wartości akcji z okresu uchwalania programu. </w:t>
      </w:r>
    </w:p>
    <w:p w14:paraId="08ACA2DD" w14:textId="30CC84E1"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nie jest stosowana</w:t>
      </w:r>
      <w:r w:rsidRPr="00F57781">
        <w:rPr>
          <w:rFonts w:ascii="Arial" w:hAnsi="Arial" w:cs="Arial"/>
          <w:color w:val="010302"/>
          <w:sz w:val="15"/>
          <w:szCs w:val="15"/>
          <w:lang w:val="pl-PL"/>
        </w:rPr>
        <w:t>.</w:t>
      </w:r>
    </w:p>
    <w:p w14:paraId="69C36075" w14:textId="39851542" w:rsidR="00F57781" w:rsidRPr="00F57781" w:rsidRDefault="00F57781" w:rsidP="00F57781">
      <w:pPr>
        <w:pStyle w:val="Akapitzlist"/>
        <w:spacing w:line="204" w:lineRule="exact"/>
        <w:ind w:left="792" w:right="132"/>
        <w:jc w:val="both"/>
        <w:rPr>
          <w:rFonts w:ascii="Arial" w:hAnsi="Arial" w:cs="Arial"/>
          <w:i/>
          <w:iCs/>
          <w:color w:val="010302"/>
          <w:sz w:val="15"/>
          <w:szCs w:val="15"/>
          <w:lang w:val="pl-PL"/>
        </w:rPr>
      </w:pPr>
      <w:r w:rsidRPr="00F57781">
        <w:rPr>
          <w:rFonts w:ascii="Arial" w:hAnsi="Arial" w:cs="Arial"/>
          <w:b/>
          <w:bCs/>
          <w:i/>
          <w:iCs/>
          <w:color w:val="010302"/>
          <w:sz w:val="15"/>
          <w:szCs w:val="15"/>
          <w:lang w:val="pl-PL"/>
        </w:rPr>
        <w:t>Komentarz spółki</w:t>
      </w:r>
      <w:r w:rsidRPr="00F57781">
        <w:rPr>
          <w:rFonts w:ascii="Arial" w:hAnsi="Arial" w:cs="Arial"/>
          <w:color w:val="010302"/>
          <w:sz w:val="15"/>
          <w:szCs w:val="15"/>
          <w:lang w:val="pl-PL"/>
        </w:rPr>
        <w:t xml:space="preserve">: </w:t>
      </w:r>
      <w:r w:rsidRPr="00F57781">
        <w:rPr>
          <w:rFonts w:ascii="Arial" w:hAnsi="Arial" w:cs="Arial"/>
          <w:i/>
          <w:iCs/>
          <w:color w:val="010302"/>
          <w:sz w:val="15"/>
          <w:szCs w:val="15"/>
          <w:lang w:val="pl-PL"/>
        </w:rPr>
        <w:t>W Spółce realizowana jest „Polityka wynagradzania członków Zarządu i Rady Nadzorczej”, która jest dostępna na stronie internetowej Spółki, w sekcji „Relacje inwestorskie” (zakładka: „Ład korporacyjny”).</w:t>
      </w:r>
    </w:p>
    <w:p w14:paraId="0CF41856"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206213CD"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 xml:space="preserve">Rada nadzorcza realizuje swoje zadania w sposób ciągły, dlatego wynagrodzenie członków rady nie może być uzależnione od liczby odbytych posiedzeń. Wynagrodzenie członków komitetów, w szczególności komitetu audytu, powinno uwzględniać dodatkowe nakłady pracy związane z pracą w tych komitetach. </w:t>
      </w:r>
    </w:p>
    <w:p w14:paraId="54CE77FB" w14:textId="25F76ECA" w:rsid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p w14:paraId="6FCF6FB4" w14:textId="77777777"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p>
    <w:p w14:paraId="6485DB4F" w14:textId="77777777" w:rsidR="00F57781" w:rsidRDefault="00F57781" w:rsidP="00F57781">
      <w:pPr>
        <w:pStyle w:val="Akapitzlist"/>
        <w:numPr>
          <w:ilvl w:val="1"/>
          <w:numId w:val="1"/>
        </w:numPr>
        <w:spacing w:line="204" w:lineRule="exact"/>
        <w:ind w:right="132"/>
        <w:jc w:val="both"/>
        <w:rPr>
          <w:rFonts w:ascii="Arial" w:hAnsi="Arial" w:cs="Arial"/>
          <w:color w:val="010302"/>
          <w:sz w:val="15"/>
          <w:szCs w:val="15"/>
          <w:lang w:val="pl-PL"/>
        </w:rPr>
      </w:pPr>
      <w:r w:rsidRPr="00F57781">
        <w:rPr>
          <w:rFonts w:ascii="Arial" w:hAnsi="Arial" w:cs="Arial"/>
          <w:color w:val="010302"/>
          <w:sz w:val="15"/>
          <w:szCs w:val="15"/>
          <w:lang w:val="pl-PL"/>
        </w:rPr>
        <w:t>Wysokość wynagrodzenia członków rady nadzorczej nie powinna być uzależniona od krótkoterminowych wyników</w:t>
      </w:r>
      <w:r>
        <w:rPr>
          <w:rFonts w:ascii="Arial" w:hAnsi="Arial" w:cs="Arial"/>
          <w:color w:val="010302"/>
          <w:sz w:val="15"/>
          <w:szCs w:val="15"/>
          <w:lang w:val="pl-PL"/>
        </w:rPr>
        <w:t xml:space="preserve"> </w:t>
      </w:r>
      <w:r w:rsidRPr="00F57781">
        <w:rPr>
          <w:rFonts w:ascii="Arial" w:hAnsi="Arial" w:cs="Arial"/>
          <w:color w:val="010302"/>
          <w:sz w:val="15"/>
          <w:szCs w:val="15"/>
          <w:lang w:val="pl-PL"/>
        </w:rPr>
        <w:t>spółki.</w:t>
      </w:r>
    </w:p>
    <w:p w14:paraId="7A1A8838" w14:textId="7BCC37CE" w:rsidR="00F57781" w:rsidRPr="00F57781" w:rsidRDefault="00F57781" w:rsidP="00F57781">
      <w:pPr>
        <w:pStyle w:val="Akapitzlist"/>
        <w:spacing w:line="204" w:lineRule="exact"/>
        <w:ind w:left="792" w:right="132"/>
        <w:jc w:val="both"/>
        <w:rPr>
          <w:rFonts w:ascii="Arial" w:hAnsi="Arial" w:cs="Arial"/>
          <w:color w:val="010302"/>
          <w:sz w:val="15"/>
          <w:szCs w:val="15"/>
          <w:lang w:val="pl-PL"/>
        </w:rPr>
      </w:pPr>
      <w:r w:rsidRPr="00F57781">
        <w:rPr>
          <w:rFonts w:ascii="Arial" w:hAnsi="Arial" w:cs="Arial"/>
          <w:i/>
          <w:iCs/>
          <w:color w:val="010302"/>
          <w:sz w:val="15"/>
          <w:szCs w:val="15"/>
          <w:u w:val="single"/>
          <w:lang w:val="pl-PL"/>
        </w:rPr>
        <w:t>Zasada jest stosowana</w:t>
      </w:r>
      <w:r w:rsidRPr="00F57781">
        <w:rPr>
          <w:rFonts w:ascii="Arial" w:hAnsi="Arial" w:cs="Arial"/>
          <w:color w:val="010302"/>
          <w:sz w:val="15"/>
          <w:szCs w:val="15"/>
          <w:lang w:val="pl-PL"/>
        </w:rPr>
        <w:t>.</w:t>
      </w:r>
    </w:p>
    <w:sectPr w:rsidR="00F57781" w:rsidRPr="00F5778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1F2F"/>
    <w:multiLevelType w:val="hybridMultilevel"/>
    <w:tmpl w:val="0CE2ACC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23CC7B05"/>
    <w:multiLevelType w:val="hybridMultilevel"/>
    <w:tmpl w:val="8B9C76F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2D0A0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A856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533290"/>
    <w:multiLevelType w:val="hybridMultilevel"/>
    <w:tmpl w:val="32BCA276"/>
    <w:lvl w:ilvl="0" w:tplc="F7146ED4">
      <w:start w:val="1"/>
      <w:numFmt w:val="lowerLetter"/>
      <w:lvlText w:val="%1)"/>
      <w:lvlJc w:val="left"/>
      <w:pPr>
        <w:ind w:left="1512" w:hanging="360"/>
      </w:pPr>
      <w:rPr>
        <w:rFonts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5" w15:restartNumberingAfterBreak="0">
    <w:nsid w:val="3B783981"/>
    <w:multiLevelType w:val="hybridMultilevel"/>
    <w:tmpl w:val="7686527A"/>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46AC7B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8615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1824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9E3214"/>
    <w:multiLevelType w:val="hybridMultilevel"/>
    <w:tmpl w:val="BC6E6EEE"/>
    <w:lvl w:ilvl="0" w:tplc="8A008D66">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6A617C"/>
    <w:multiLevelType w:val="hybridMultilevel"/>
    <w:tmpl w:val="711007F0"/>
    <w:lvl w:ilvl="0" w:tplc="1DBE78A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2058042714">
    <w:abstractNumId w:val="8"/>
  </w:num>
  <w:num w:numId="2" w16cid:durableId="623272981">
    <w:abstractNumId w:val="6"/>
  </w:num>
  <w:num w:numId="3" w16cid:durableId="744768881">
    <w:abstractNumId w:val="3"/>
  </w:num>
  <w:num w:numId="4" w16cid:durableId="979270017">
    <w:abstractNumId w:val="2"/>
  </w:num>
  <w:num w:numId="5" w16cid:durableId="1136332791">
    <w:abstractNumId w:val="5"/>
  </w:num>
  <w:num w:numId="6" w16cid:durableId="2075078125">
    <w:abstractNumId w:val="1"/>
  </w:num>
  <w:num w:numId="7" w16cid:durableId="1049301254">
    <w:abstractNumId w:val="7"/>
  </w:num>
  <w:num w:numId="8" w16cid:durableId="403531913">
    <w:abstractNumId w:val="0"/>
  </w:num>
  <w:num w:numId="9" w16cid:durableId="1431465437">
    <w:abstractNumId w:val="10"/>
  </w:num>
  <w:num w:numId="10" w16cid:durableId="1778719500">
    <w:abstractNumId w:val="4"/>
  </w:num>
  <w:num w:numId="11" w16cid:durableId="2090081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C6"/>
    <w:rsid w:val="00043236"/>
    <w:rsid w:val="00177DBF"/>
    <w:rsid w:val="001A3A7A"/>
    <w:rsid w:val="00491886"/>
    <w:rsid w:val="006017FB"/>
    <w:rsid w:val="0063633F"/>
    <w:rsid w:val="006712FE"/>
    <w:rsid w:val="00764DC6"/>
    <w:rsid w:val="00991850"/>
    <w:rsid w:val="009A3E8F"/>
    <w:rsid w:val="00AE1D5C"/>
    <w:rsid w:val="00B67244"/>
    <w:rsid w:val="00B87E75"/>
    <w:rsid w:val="00CD791A"/>
    <w:rsid w:val="00DE0EF3"/>
    <w:rsid w:val="00F57781"/>
    <w:rsid w:val="00FE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D542B"/>
  <w15:chartTrackingRefBased/>
  <w15:docId w15:val="{A79C1D97-8A2B-4E0B-95A2-1D627899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DC6"/>
    <w:pPr>
      <w:widowControl w:val="0"/>
      <w:spacing w:after="0" w:line="240" w:lineRule="auto"/>
    </w:pPr>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723277">
      <w:bodyDiv w:val="1"/>
      <w:marLeft w:val="0"/>
      <w:marRight w:val="0"/>
      <w:marTop w:val="0"/>
      <w:marBottom w:val="0"/>
      <w:divBdr>
        <w:top w:val="none" w:sz="0" w:space="0" w:color="auto"/>
        <w:left w:val="none" w:sz="0" w:space="0" w:color="auto"/>
        <w:bottom w:val="none" w:sz="0" w:space="0" w:color="auto"/>
        <w:right w:val="none" w:sz="0" w:space="0" w:color="auto"/>
      </w:divBdr>
    </w:div>
    <w:div w:id="18021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5037</Words>
  <Characters>30224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Arleta Szczygiel</dc:creator>
  <cp:keywords/>
  <dc:description/>
  <cp:lastModifiedBy>Joanna Zagorska</cp:lastModifiedBy>
  <cp:revision>2</cp:revision>
  <dcterms:created xsi:type="dcterms:W3CDTF">2026-06-25T15:54:00Z</dcterms:created>
  <dcterms:modified xsi:type="dcterms:W3CDTF">2026-06-25T15:54:00Z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374b3962-28b0-4693-8b5e-8b97e4acf004</vt:lpwstr>
  </property>
</Properties>
</file>